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val="en-NZ" w:eastAsia="en-US"/>
        </w:rPr>
        <w:id w:val="-1300837463"/>
        <w:docPartObj>
          <w:docPartGallery w:val="Table of Contents"/>
          <w:docPartUnique/>
        </w:docPartObj>
      </w:sdtPr>
      <w:sdtEndPr>
        <w:rPr>
          <w:noProof/>
        </w:rPr>
      </w:sdtEndPr>
      <w:sdtContent>
        <w:p w:rsidR="00EF4871" w:rsidRPr="00EF4871" w:rsidRDefault="00EF4871">
          <w:pPr>
            <w:pStyle w:val="TOCHeading"/>
            <w:rPr>
              <w:rFonts w:ascii="Arial Black" w:hAnsi="Arial Black"/>
              <w:color w:val="auto"/>
            </w:rPr>
          </w:pPr>
          <w:r w:rsidRPr="00EF4871">
            <w:rPr>
              <w:rFonts w:ascii="Arial Black" w:hAnsi="Arial Black"/>
              <w:color w:val="auto"/>
            </w:rPr>
            <w:t>Contents</w:t>
          </w:r>
        </w:p>
        <w:p w:rsidR="00EF4871" w:rsidRPr="00EF4871" w:rsidRDefault="00EF4871" w:rsidP="00EF4871">
          <w:pPr>
            <w:rPr>
              <w:lang w:val="en-US" w:eastAsia="ja-JP"/>
            </w:rPr>
          </w:pPr>
        </w:p>
        <w:p w:rsidR="00C27ACC" w:rsidRDefault="00EF4871">
          <w:pPr>
            <w:pStyle w:val="TOC1"/>
            <w:tabs>
              <w:tab w:val="left" w:pos="660"/>
              <w:tab w:val="right" w:leader="dot" w:pos="9016"/>
            </w:tabs>
            <w:rPr>
              <w:rFonts w:eastAsiaTheme="minorEastAsia"/>
              <w:noProof/>
              <w:lang w:eastAsia="en-NZ"/>
            </w:rPr>
          </w:pPr>
          <w:r>
            <w:fldChar w:fldCharType="begin"/>
          </w:r>
          <w:r>
            <w:instrText xml:space="preserve"> TOC \o "1-3" \h \z \u </w:instrText>
          </w:r>
          <w:r>
            <w:fldChar w:fldCharType="separate"/>
          </w:r>
          <w:hyperlink w:anchor="_Toc395179732" w:history="1">
            <w:r w:rsidR="00C27ACC" w:rsidRPr="007C59D9">
              <w:rPr>
                <w:rStyle w:val="Hyperlink"/>
                <w:rFonts w:ascii="Arial Black" w:hAnsi="Arial Black"/>
                <w:noProof/>
              </w:rPr>
              <w:t>1.</w:t>
            </w:r>
            <w:r w:rsidR="00C27ACC">
              <w:rPr>
                <w:rFonts w:eastAsiaTheme="minorEastAsia"/>
                <w:noProof/>
                <w:lang w:eastAsia="en-NZ"/>
              </w:rPr>
              <w:tab/>
            </w:r>
            <w:r w:rsidR="00C27ACC" w:rsidRPr="007C59D9">
              <w:rPr>
                <w:rStyle w:val="Hyperlink"/>
                <w:rFonts w:ascii="Arial Black" w:hAnsi="Arial Black"/>
                <w:noProof/>
              </w:rPr>
              <w:t>Background</w:t>
            </w:r>
            <w:r w:rsidR="00C27ACC">
              <w:rPr>
                <w:noProof/>
                <w:webHidden/>
              </w:rPr>
              <w:tab/>
            </w:r>
            <w:r w:rsidR="00C27ACC">
              <w:rPr>
                <w:noProof/>
                <w:webHidden/>
              </w:rPr>
              <w:fldChar w:fldCharType="begin"/>
            </w:r>
            <w:r w:rsidR="00C27ACC">
              <w:rPr>
                <w:noProof/>
                <w:webHidden/>
              </w:rPr>
              <w:instrText xml:space="preserve"> PAGEREF _Toc395179732 \h </w:instrText>
            </w:r>
            <w:r w:rsidR="00C27ACC">
              <w:rPr>
                <w:noProof/>
                <w:webHidden/>
              </w:rPr>
            </w:r>
            <w:r w:rsidR="00C27ACC">
              <w:rPr>
                <w:noProof/>
                <w:webHidden/>
              </w:rPr>
              <w:fldChar w:fldCharType="separate"/>
            </w:r>
            <w:r w:rsidR="00C963CF">
              <w:rPr>
                <w:noProof/>
                <w:webHidden/>
              </w:rPr>
              <w:t>1</w:t>
            </w:r>
            <w:r w:rsidR="00C27ACC">
              <w:rPr>
                <w:noProof/>
                <w:webHidden/>
              </w:rPr>
              <w:fldChar w:fldCharType="end"/>
            </w:r>
          </w:hyperlink>
        </w:p>
        <w:p w:rsidR="00C27ACC" w:rsidRDefault="008F4A7C">
          <w:pPr>
            <w:pStyle w:val="TOC1"/>
            <w:tabs>
              <w:tab w:val="left" w:pos="660"/>
              <w:tab w:val="right" w:leader="dot" w:pos="9016"/>
            </w:tabs>
            <w:rPr>
              <w:rFonts w:eastAsiaTheme="minorEastAsia"/>
              <w:noProof/>
              <w:lang w:eastAsia="en-NZ"/>
            </w:rPr>
          </w:pPr>
          <w:hyperlink w:anchor="_Toc395179733" w:history="1">
            <w:r w:rsidR="00C27ACC" w:rsidRPr="007C59D9">
              <w:rPr>
                <w:rStyle w:val="Hyperlink"/>
                <w:rFonts w:ascii="Arial Black" w:hAnsi="Arial Black"/>
                <w:noProof/>
              </w:rPr>
              <w:t>2.</w:t>
            </w:r>
            <w:r w:rsidR="00C27ACC">
              <w:rPr>
                <w:rFonts w:eastAsiaTheme="minorEastAsia"/>
                <w:noProof/>
                <w:lang w:eastAsia="en-NZ"/>
              </w:rPr>
              <w:tab/>
            </w:r>
            <w:r w:rsidR="00C27ACC" w:rsidRPr="007C59D9">
              <w:rPr>
                <w:rStyle w:val="Hyperlink"/>
                <w:rFonts w:ascii="Arial Black" w:hAnsi="Arial Black"/>
                <w:noProof/>
              </w:rPr>
              <w:t>The 2015 environment – industrial, political, and economic</w:t>
            </w:r>
            <w:r w:rsidR="00C27ACC">
              <w:rPr>
                <w:noProof/>
                <w:webHidden/>
              </w:rPr>
              <w:tab/>
            </w:r>
            <w:r w:rsidR="00C27ACC">
              <w:rPr>
                <w:noProof/>
                <w:webHidden/>
              </w:rPr>
              <w:fldChar w:fldCharType="begin"/>
            </w:r>
            <w:r w:rsidR="00C27ACC">
              <w:rPr>
                <w:noProof/>
                <w:webHidden/>
              </w:rPr>
              <w:instrText xml:space="preserve"> PAGEREF _Toc395179733 \h </w:instrText>
            </w:r>
            <w:r w:rsidR="00C27ACC">
              <w:rPr>
                <w:noProof/>
                <w:webHidden/>
              </w:rPr>
            </w:r>
            <w:r w:rsidR="00C27ACC">
              <w:rPr>
                <w:noProof/>
                <w:webHidden/>
              </w:rPr>
              <w:fldChar w:fldCharType="separate"/>
            </w:r>
            <w:r w:rsidR="00C963CF">
              <w:rPr>
                <w:noProof/>
                <w:webHidden/>
              </w:rPr>
              <w:t>1</w:t>
            </w:r>
            <w:r w:rsidR="00C27ACC">
              <w:rPr>
                <w:noProof/>
                <w:webHidden/>
              </w:rPr>
              <w:fldChar w:fldCharType="end"/>
            </w:r>
          </w:hyperlink>
        </w:p>
        <w:p w:rsidR="00C27ACC" w:rsidRDefault="008F4A7C">
          <w:pPr>
            <w:pStyle w:val="TOC1"/>
            <w:tabs>
              <w:tab w:val="left" w:pos="660"/>
              <w:tab w:val="right" w:leader="dot" w:pos="9016"/>
            </w:tabs>
            <w:rPr>
              <w:rFonts w:eastAsiaTheme="minorEastAsia"/>
              <w:noProof/>
              <w:lang w:eastAsia="en-NZ"/>
            </w:rPr>
          </w:pPr>
          <w:hyperlink w:anchor="_Toc395179734" w:history="1">
            <w:r w:rsidR="00C27ACC" w:rsidRPr="007C59D9">
              <w:rPr>
                <w:rStyle w:val="Hyperlink"/>
                <w:rFonts w:ascii="Arial Black" w:hAnsi="Arial Black"/>
                <w:noProof/>
              </w:rPr>
              <w:t>3.</w:t>
            </w:r>
            <w:r w:rsidR="00C27ACC">
              <w:rPr>
                <w:rFonts w:eastAsiaTheme="minorEastAsia"/>
                <w:noProof/>
                <w:lang w:eastAsia="en-NZ"/>
              </w:rPr>
              <w:tab/>
            </w:r>
            <w:r w:rsidR="00C27ACC" w:rsidRPr="007C59D9">
              <w:rPr>
                <w:rStyle w:val="Hyperlink"/>
                <w:rFonts w:ascii="Arial Black" w:hAnsi="Arial Black"/>
                <w:noProof/>
              </w:rPr>
              <w:t>Members expectations</w:t>
            </w:r>
            <w:r w:rsidR="00C27ACC">
              <w:rPr>
                <w:noProof/>
                <w:webHidden/>
              </w:rPr>
              <w:tab/>
            </w:r>
            <w:r w:rsidR="00C27ACC">
              <w:rPr>
                <w:noProof/>
                <w:webHidden/>
              </w:rPr>
              <w:fldChar w:fldCharType="begin"/>
            </w:r>
            <w:r w:rsidR="00C27ACC">
              <w:rPr>
                <w:noProof/>
                <w:webHidden/>
              </w:rPr>
              <w:instrText xml:space="preserve"> PAGEREF _Toc395179734 \h </w:instrText>
            </w:r>
            <w:r w:rsidR="00C27ACC">
              <w:rPr>
                <w:noProof/>
                <w:webHidden/>
              </w:rPr>
            </w:r>
            <w:r w:rsidR="00C27ACC">
              <w:rPr>
                <w:noProof/>
                <w:webHidden/>
              </w:rPr>
              <w:fldChar w:fldCharType="separate"/>
            </w:r>
            <w:r w:rsidR="00C963CF">
              <w:rPr>
                <w:noProof/>
                <w:webHidden/>
              </w:rPr>
              <w:t>2</w:t>
            </w:r>
            <w:r w:rsidR="00C27ACC">
              <w:rPr>
                <w:noProof/>
                <w:webHidden/>
              </w:rPr>
              <w:fldChar w:fldCharType="end"/>
            </w:r>
          </w:hyperlink>
        </w:p>
        <w:p w:rsidR="00C27ACC" w:rsidRDefault="008F4A7C">
          <w:pPr>
            <w:pStyle w:val="TOC1"/>
            <w:tabs>
              <w:tab w:val="left" w:pos="660"/>
              <w:tab w:val="right" w:leader="dot" w:pos="9016"/>
            </w:tabs>
            <w:rPr>
              <w:rFonts w:eastAsiaTheme="minorEastAsia"/>
              <w:noProof/>
              <w:lang w:eastAsia="en-NZ"/>
            </w:rPr>
          </w:pPr>
          <w:hyperlink w:anchor="_Toc395179735" w:history="1">
            <w:r w:rsidR="00C27ACC" w:rsidRPr="007C59D9">
              <w:rPr>
                <w:rStyle w:val="Hyperlink"/>
                <w:rFonts w:ascii="Arial Black" w:hAnsi="Arial Black"/>
                <w:noProof/>
              </w:rPr>
              <w:t>4.</w:t>
            </w:r>
            <w:r w:rsidR="00C27ACC">
              <w:rPr>
                <w:rFonts w:eastAsiaTheme="minorEastAsia"/>
                <w:noProof/>
                <w:lang w:eastAsia="en-NZ"/>
              </w:rPr>
              <w:tab/>
            </w:r>
            <w:r w:rsidR="00C27ACC" w:rsidRPr="007C59D9">
              <w:rPr>
                <w:rStyle w:val="Hyperlink"/>
                <w:rFonts w:ascii="Arial Black" w:hAnsi="Arial Black"/>
                <w:noProof/>
              </w:rPr>
              <w:t>The salary claim – how much is enough?</w:t>
            </w:r>
            <w:r w:rsidR="00C27ACC">
              <w:rPr>
                <w:noProof/>
                <w:webHidden/>
              </w:rPr>
              <w:tab/>
            </w:r>
            <w:r w:rsidR="00C27ACC">
              <w:rPr>
                <w:noProof/>
                <w:webHidden/>
              </w:rPr>
              <w:fldChar w:fldCharType="begin"/>
            </w:r>
            <w:r w:rsidR="00C27ACC">
              <w:rPr>
                <w:noProof/>
                <w:webHidden/>
              </w:rPr>
              <w:instrText xml:space="preserve"> PAGEREF _Toc395179735 \h </w:instrText>
            </w:r>
            <w:r w:rsidR="00C27ACC">
              <w:rPr>
                <w:noProof/>
                <w:webHidden/>
              </w:rPr>
            </w:r>
            <w:r w:rsidR="00C27ACC">
              <w:rPr>
                <w:noProof/>
                <w:webHidden/>
              </w:rPr>
              <w:fldChar w:fldCharType="separate"/>
            </w:r>
            <w:r w:rsidR="00C963CF">
              <w:rPr>
                <w:noProof/>
                <w:webHidden/>
              </w:rPr>
              <w:t>3</w:t>
            </w:r>
            <w:r w:rsidR="00C27ACC">
              <w:rPr>
                <w:noProof/>
                <w:webHidden/>
              </w:rPr>
              <w:fldChar w:fldCharType="end"/>
            </w:r>
          </w:hyperlink>
        </w:p>
        <w:p w:rsidR="00C27ACC" w:rsidRDefault="008F4A7C">
          <w:pPr>
            <w:pStyle w:val="TOC1"/>
            <w:tabs>
              <w:tab w:val="left" w:pos="660"/>
              <w:tab w:val="right" w:leader="dot" w:pos="9016"/>
            </w:tabs>
            <w:rPr>
              <w:rFonts w:eastAsiaTheme="minorEastAsia"/>
              <w:noProof/>
              <w:lang w:eastAsia="en-NZ"/>
            </w:rPr>
          </w:pPr>
          <w:hyperlink w:anchor="_Toc395179736" w:history="1">
            <w:r w:rsidR="00C27ACC" w:rsidRPr="007C59D9">
              <w:rPr>
                <w:rStyle w:val="Hyperlink"/>
                <w:rFonts w:ascii="Arial Black" w:hAnsi="Arial Black"/>
                <w:noProof/>
              </w:rPr>
              <w:t>5.</w:t>
            </w:r>
            <w:r w:rsidR="00C27ACC">
              <w:rPr>
                <w:rFonts w:eastAsiaTheme="minorEastAsia"/>
                <w:noProof/>
                <w:lang w:eastAsia="en-NZ"/>
              </w:rPr>
              <w:tab/>
            </w:r>
            <w:r w:rsidR="00C27ACC" w:rsidRPr="007C59D9">
              <w:rPr>
                <w:rStyle w:val="Hyperlink"/>
                <w:rFonts w:ascii="Arial Black" w:hAnsi="Arial Black"/>
                <w:noProof/>
              </w:rPr>
              <w:t>What this means for conditions claims</w:t>
            </w:r>
            <w:r w:rsidR="00C27ACC">
              <w:rPr>
                <w:noProof/>
                <w:webHidden/>
              </w:rPr>
              <w:tab/>
            </w:r>
            <w:r w:rsidR="00C27ACC">
              <w:rPr>
                <w:noProof/>
                <w:webHidden/>
              </w:rPr>
              <w:fldChar w:fldCharType="begin"/>
            </w:r>
            <w:r w:rsidR="00C27ACC">
              <w:rPr>
                <w:noProof/>
                <w:webHidden/>
              </w:rPr>
              <w:instrText xml:space="preserve"> PAGEREF _Toc395179736 \h </w:instrText>
            </w:r>
            <w:r w:rsidR="00C27ACC">
              <w:rPr>
                <w:noProof/>
                <w:webHidden/>
              </w:rPr>
            </w:r>
            <w:r w:rsidR="00C27ACC">
              <w:rPr>
                <w:noProof/>
                <w:webHidden/>
              </w:rPr>
              <w:fldChar w:fldCharType="separate"/>
            </w:r>
            <w:r w:rsidR="00C963CF">
              <w:rPr>
                <w:noProof/>
                <w:webHidden/>
              </w:rPr>
              <w:t>4</w:t>
            </w:r>
            <w:r w:rsidR="00C27ACC">
              <w:rPr>
                <w:noProof/>
                <w:webHidden/>
              </w:rPr>
              <w:fldChar w:fldCharType="end"/>
            </w:r>
          </w:hyperlink>
        </w:p>
        <w:p w:rsidR="00C27ACC" w:rsidRDefault="008F4A7C">
          <w:pPr>
            <w:pStyle w:val="TOC1"/>
            <w:tabs>
              <w:tab w:val="left" w:pos="660"/>
              <w:tab w:val="right" w:leader="dot" w:pos="9016"/>
            </w:tabs>
            <w:rPr>
              <w:rFonts w:eastAsiaTheme="minorEastAsia"/>
              <w:noProof/>
              <w:lang w:eastAsia="en-NZ"/>
            </w:rPr>
          </w:pPr>
          <w:hyperlink w:anchor="_Toc395179737" w:history="1">
            <w:r w:rsidR="00C27ACC" w:rsidRPr="007C59D9">
              <w:rPr>
                <w:rStyle w:val="Hyperlink"/>
                <w:rFonts w:ascii="Arial Black" w:hAnsi="Arial Black"/>
                <w:noProof/>
              </w:rPr>
              <w:t>6.</w:t>
            </w:r>
            <w:r w:rsidR="00C27ACC">
              <w:rPr>
                <w:rFonts w:eastAsiaTheme="minorEastAsia"/>
                <w:noProof/>
                <w:lang w:eastAsia="en-NZ"/>
              </w:rPr>
              <w:tab/>
            </w:r>
            <w:r w:rsidR="00C27ACC" w:rsidRPr="007C59D9">
              <w:rPr>
                <w:rStyle w:val="Hyperlink"/>
                <w:rFonts w:ascii="Arial Black" w:hAnsi="Arial Black"/>
                <w:noProof/>
              </w:rPr>
              <w:t>The 2015 STCA claims process</w:t>
            </w:r>
            <w:r w:rsidR="00C27ACC">
              <w:rPr>
                <w:noProof/>
                <w:webHidden/>
              </w:rPr>
              <w:tab/>
            </w:r>
            <w:r w:rsidR="00C27ACC">
              <w:rPr>
                <w:noProof/>
                <w:webHidden/>
              </w:rPr>
              <w:fldChar w:fldCharType="begin"/>
            </w:r>
            <w:r w:rsidR="00C27ACC">
              <w:rPr>
                <w:noProof/>
                <w:webHidden/>
              </w:rPr>
              <w:instrText xml:space="preserve"> PAGEREF _Toc395179737 \h </w:instrText>
            </w:r>
            <w:r w:rsidR="00C27ACC">
              <w:rPr>
                <w:noProof/>
                <w:webHidden/>
              </w:rPr>
            </w:r>
            <w:r w:rsidR="00C27ACC">
              <w:rPr>
                <w:noProof/>
                <w:webHidden/>
              </w:rPr>
              <w:fldChar w:fldCharType="separate"/>
            </w:r>
            <w:r w:rsidR="00C963CF">
              <w:rPr>
                <w:noProof/>
                <w:webHidden/>
              </w:rPr>
              <w:t>5</w:t>
            </w:r>
            <w:r w:rsidR="00C27ACC">
              <w:rPr>
                <w:noProof/>
                <w:webHidden/>
              </w:rPr>
              <w:fldChar w:fldCharType="end"/>
            </w:r>
          </w:hyperlink>
        </w:p>
        <w:p w:rsidR="00C27ACC" w:rsidRDefault="008F4A7C">
          <w:pPr>
            <w:pStyle w:val="TOC1"/>
            <w:tabs>
              <w:tab w:val="left" w:pos="660"/>
              <w:tab w:val="right" w:leader="dot" w:pos="9016"/>
            </w:tabs>
            <w:rPr>
              <w:rFonts w:eastAsiaTheme="minorEastAsia"/>
              <w:noProof/>
              <w:lang w:eastAsia="en-NZ"/>
            </w:rPr>
          </w:pPr>
          <w:hyperlink w:anchor="_Toc395179738" w:history="1">
            <w:r w:rsidR="00C27ACC" w:rsidRPr="007C59D9">
              <w:rPr>
                <w:rStyle w:val="Hyperlink"/>
                <w:rFonts w:ascii="Arial Black" w:hAnsi="Arial Black"/>
                <w:noProof/>
              </w:rPr>
              <w:t>7.</w:t>
            </w:r>
            <w:r w:rsidR="00C27ACC">
              <w:rPr>
                <w:rFonts w:eastAsiaTheme="minorEastAsia"/>
                <w:noProof/>
                <w:lang w:eastAsia="en-NZ"/>
              </w:rPr>
              <w:tab/>
            </w:r>
            <w:r w:rsidR="00C27ACC" w:rsidRPr="007C59D9">
              <w:rPr>
                <w:rStyle w:val="Hyperlink"/>
                <w:rFonts w:ascii="Arial Black" w:hAnsi="Arial Black"/>
                <w:noProof/>
              </w:rPr>
              <w:t>Planning for an industrial campaign</w:t>
            </w:r>
            <w:r w:rsidR="00C27ACC">
              <w:rPr>
                <w:noProof/>
                <w:webHidden/>
              </w:rPr>
              <w:tab/>
            </w:r>
            <w:r w:rsidR="00C27ACC">
              <w:rPr>
                <w:noProof/>
                <w:webHidden/>
              </w:rPr>
              <w:fldChar w:fldCharType="begin"/>
            </w:r>
            <w:r w:rsidR="00C27ACC">
              <w:rPr>
                <w:noProof/>
                <w:webHidden/>
              </w:rPr>
              <w:instrText xml:space="preserve"> PAGEREF _Toc395179738 \h </w:instrText>
            </w:r>
            <w:r w:rsidR="00C27ACC">
              <w:rPr>
                <w:noProof/>
                <w:webHidden/>
              </w:rPr>
            </w:r>
            <w:r w:rsidR="00C27ACC">
              <w:rPr>
                <w:noProof/>
                <w:webHidden/>
              </w:rPr>
              <w:fldChar w:fldCharType="separate"/>
            </w:r>
            <w:r w:rsidR="00C963CF">
              <w:rPr>
                <w:noProof/>
                <w:webHidden/>
              </w:rPr>
              <w:t>5</w:t>
            </w:r>
            <w:r w:rsidR="00C27ACC">
              <w:rPr>
                <w:noProof/>
                <w:webHidden/>
              </w:rPr>
              <w:fldChar w:fldCharType="end"/>
            </w:r>
          </w:hyperlink>
        </w:p>
        <w:p w:rsidR="00C27ACC" w:rsidRDefault="008F4A7C">
          <w:pPr>
            <w:pStyle w:val="TOC1"/>
            <w:tabs>
              <w:tab w:val="left" w:pos="660"/>
              <w:tab w:val="right" w:leader="dot" w:pos="9016"/>
            </w:tabs>
            <w:rPr>
              <w:rFonts w:eastAsiaTheme="minorEastAsia"/>
              <w:noProof/>
              <w:lang w:eastAsia="en-NZ"/>
            </w:rPr>
          </w:pPr>
          <w:hyperlink w:anchor="_Toc395179739" w:history="1">
            <w:r w:rsidR="00C27ACC" w:rsidRPr="007C59D9">
              <w:rPr>
                <w:rStyle w:val="Hyperlink"/>
                <w:rFonts w:ascii="Arial Black" w:hAnsi="Arial Black"/>
                <w:noProof/>
              </w:rPr>
              <w:t>8.</w:t>
            </w:r>
            <w:r w:rsidR="00C27ACC">
              <w:rPr>
                <w:rFonts w:eastAsiaTheme="minorEastAsia"/>
                <w:noProof/>
                <w:lang w:eastAsia="en-NZ"/>
              </w:rPr>
              <w:tab/>
            </w:r>
            <w:r w:rsidR="00C27ACC" w:rsidRPr="007C59D9">
              <w:rPr>
                <w:rStyle w:val="Hyperlink"/>
                <w:rFonts w:ascii="Arial Black" w:hAnsi="Arial Black"/>
                <w:noProof/>
              </w:rPr>
              <w:t>Implications for area school bargaining</w:t>
            </w:r>
            <w:r w:rsidR="00C27ACC">
              <w:rPr>
                <w:noProof/>
                <w:webHidden/>
              </w:rPr>
              <w:tab/>
            </w:r>
            <w:r w:rsidR="00C27ACC">
              <w:rPr>
                <w:noProof/>
                <w:webHidden/>
              </w:rPr>
              <w:fldChar w:fldCharType="begin"/>
            </w:r>
            <w:r w:rsidR="00C27ACC">
              <w:rPr>
                <w:noProof/>
                <w:webHidden/>
              </w:rPr>
              <w:instrText xml:space="preserve"> PAGEREF _Toc395179739 \h </w:instrText>
            </w:r>
            <w:r w:rsidR="00C27ACC">
              <w:rPr>
                <w:noProof/>
                <w:webHidden/>
              </w:rPr>
            </w:r>
            <w:r w:rsidR="00C27ACC">
              <w:rPr>
                <w:noProof/>
                <w:webHidden/>
              </w:rPr>
              <w:fldChar w:fldCharType="separate"/>
            </w:r>
            <w:r w:rsidR="00C963CF">
              <w:rPr>
                <w:noProof/>
                <w:webHidden/>
              </w:rPr>
              <w:t>6</w:t>
            </w:r>
            <w:r w:rsidR="00C27ACC">
              <w:rPr>
                <w:noProof/>
                <w:webHidden/>
              </w:rPr>
              <w:fldChar w:fldCharType="end"/>
            </w:r>
          </w:hyperlink>
        </w:p>
        <w:p w:rsidR="00C27ACC" w:rsidRDefault="008F4A7C">
          <w:pPr>
            <w:pStyle w:val="TOC1"/>
            <w:tabs>
              <w:tab w:val="left" w:pos="660"/>
              <w:tab w:val="right" w:leader="dot" w:pos="9016"/>
            </w:tabs>
            <w:rPr>
              <w:rFonts w:eastAsiaTheme="minorEastAsia"/>
              <w:noProof/>
              <w:lang w:eastAsia="en-NZ"/>
            </w:rPr>
          </w:pPr>
          <w:hyperlink w:anchor="_Toc395179740" w:history="1">
            <w:r w:rsidR="00C27ACC" w:rsidRPr="007C59D9">
              <w:rPr>
                <w:rStyle w:val="Hyperlink"/>
                <w:rFonts w:ascii="Arial Black" w:hAnsi="Arial Black"/>
                <w:noProof/>
              </w:rPr>
              <w:t>9.</w:t>
            </w:r>
            <w:r w:rsidR="00C27ACC">
              <w:rPr>
                <w:rFonts w:eastAsiaTheme="minorEastAsia"/>
                <w:noProof/>
                <w:lang w:eastAsia="en-NZ"/>
              </w:rPr>
              <w:tab/>
            </w:r>
            <w:r w:rsidR="00C27ACC" w:rsidRPr="007C59D9">
              <w:rPr>
                <w:rStyle w:val="Hyperlink"/>
                <w:rFonts w:ascii="Arial Black" w:hAnsi="Arial Black"/>
                <w:noProof/>
              </w:rPr>
              <w:t>Conclusions</w:t>
            </w:r>
            <w:r w:rsidR="00C27ACC">
              <w:rPr>
                <w:noProof/>
                <w:webHidden/>
              </w:rPr>
              <w:tab/>
            </w:r>
            <w:r w:rsidR="00C27ACC">
              <w:rPr>
                <w:noProof/>
                <w:webHidden/>
              </w:rPr>
              <w:fldChar w:fldCharType="begin"/>
            </w:r>
            <w:r w:rsidR="00C27ACC">
              <w:rPr>
                <w:noProof/>
                <w:webHidden/>
              </w:rPr>
              <w:instrText xml:space="preserve"> PAGEREF _Toc395179740 \h </w:instrText>
            </w:r>
            <w:r w:rsidR="00C27ACC">
              <w:rPr>
                <w:noProof/>
                <w:webHidden/>
              </w:rPr>
            </w:r>
            <w:r w:rsidR="00C27ACC">
              <w:rPr>
                <w:noProof/>
                <w:webHidden/>
              </w:rPr>
              <w:fldChar w:fldCharType="separate"/>
            </w:r>
            <w:r w:rsidR="00C963CF">
              <w:rPr>
                <w:noProof/>
                <w:webHidden/>
              </w:rPr>
              <w:t>6</w:t>
            </w:r>
            <w:r w:rsidR="00C27ACC">
              <w:rPr>
                <w:noProof/>
                <w:webHidden/>
              </w:rPr>
              <w:fldChar w:fldCharType="end"/>
            </w:r>
          </w:hyperlink>
        </w:p>
        <w:p w:rsidR="00C27ACC" w:rsidRDefault="008F4A7C">
          <w:pPr>
            <w:pStyle w:val="TOC1"/>
            <w:tabs>
              <w:tab w:val="left" w:pos="660"/>
              <w:tab w:val="right" w:leader="dot" w:pos="9016"/>
            </w:tabs>
            <w:rPr>
              <w:rFonts w:eastAsiaTheme="minorEastAsia"/>
              <w:noProof/>
              <w:lang w:eastAsia="en-NZ"/>
            </w:rPr>
          </w:pPr>
          <w:hyperlink w:anchor="_Toc395179741" w:history="1">
            <w:r w:rsidR="00C27ACC" w:rsidRPr="007C59D9">
              <w:rPr>
                <w:rStyle w:val="Hyperlink"/>
                <w:rFonts w:ascii="Arial Black" w:hAnsi="Arial Black"/>
                <w:noProof/>
              </w:rPr>
              <w:t>10.</w:t>
            </w:r>
            <w:r w:rsidR="00C27ACC">
              <w:rPr>
                <w:rFonts w:eastAsiaTheme="minorEastAsia"/>
                <w:noProof/>
                <w:lang w:eastAsia="en-NZ"/>
              </w:rPr>
              <w:tab/>
            </w:r>
            <w:r w:rsidR="00C27ACC" w:rsidRPr="007C59D9">
              <w:rPr>
                <w:rStyle w:val="Hyperlink"/>
                <w:rFonts w:ascii="Arial Black" w:hAnsi="Arial Black"/>
                <w:noProof/>
              </w:rPr>
              <w:t>The recommendations</w:t>
            </w:r>
            <w:r w:rsidR="00C27ACC">
              <w:rPr>
                <w:noProof/>
                <w:webHidden/>
              </w:rPr>
              <w:tab/>
            </w:r>
            <w:r w:rsidR="00C27ACC">
              <w:rPr>
                <w:noProof/>
                <w:webHidden/>
              </w:rPr>
              <w:fldChar w:fldCharType="begin"/>
            </w:r>
            <w:r w:rsidR="00C27ACC">
              <w:rPr>
                <w:noProof/>
                <w:webHidden/>
              </w:rPr>
              <w:instrText xml:space="preserve"> PAGEREF _Toc395179741 \h </w:instrText>
            </w:r>
            <w:r w:rsidR="00C27ACC">
              <w:rPr>
                <w:noProof/>
                <w:webHidden/>
              </w:rPr>
            </w:r>
            <w:r w:rsidR="00C27ACC">
              <w:rPr>
                <w:noProof/>
                <w:webHidden/>
              </w:rPr>
              <w:fldChar w:fldCharType="separate"/>
            </w:r>
            <w:r w:rsidR="00C963CF">
              <w:rPr>
                <w:noProof/>
                <w:webHidden/>
              </w:rPr>
              <w:t>7</w:t>
            </w:r>
            <w:r w:rsidR="00C27ACC">
              <w:rPr>
                <w:noProof/>
                <w:webHidden/>
              </w:rPr>
              <w:fldChar w:fldCharType="end"/>
            </w:r>
          </w:hyperlink>
        </w:p>
        <w:p w:rsidR="00EF4871" w:rsidRDefault="00EF4871">
          <w:r>
            <w:rPr>
              <w:b/>
              <w:bCs/>
              <w:noProof/>
            </w:rPr>
            <w:fldChar w:fldCharType="end"/>
          </w:r>
        </w:p>
      </w:sdtContent>
    </w:sdt>
    <w:p w:rsidR="00EF4871" w:rsidRDefault="00EF4871">
      <w:pPr>
        <w:rPr>
          <w:rFonts w:ascii="Arial Black" w:eastAsia="Calibri" w:hAnsi="Arial Black" w:cs="Arial"/>
          <w:sz w:val="32"/>
          <w:szCs w:val="32"/>
        </w:rPr>
      </w:pPr>
      <w:r>
        <w:rPr>
          <w:rFonts w:ascii="Arial Black" w:eastAsia="Calibri" w:hAnsi="Arial Black"/>
          <w:sz w:val="32"/>
          <w:szCs w:val="32"/>
        </w:rPr>
        <w:br w:type="page"/>
      </w:r>
    </w:p>
    <w:p w:rsidR="005E4ECD" w:rsidRDefault="005E4ECD" w:rsidP="007D55D1">
      <w:pPr>
        <w:pStyle w:val="NoSpacing"/>
        <w:jc w:val="center"/>
        <w:rPr>
          <w:rFonts w:ascii="Arial Black" w:eastAsia="Calibri" w:hAnsi="Arial Black"/>
          <w:sz w:val="32"/>
          <w:szCs w:val="32"/>
        </w:rPr>
      </w:pPr>
    </w:p>
    <w:p w:rsidR="007D55D1" w:rsidRDefault="007D55D1" w:rsidP="007D55D1">
      <w:pPr>
        <w:pStyle w:val="NoSpacing"/>
        <w:jc w:val="center"/>
        <w:rPr>
          <w:rFonts w:ascii="Arial Black" w:eastAsia="Calibri" w:hAnsi="Arial Black"/>
          <w:sz w:val="32"/>
          <w:szCs w:val="32"/>
        </w:rPr>
      </w:pPr>
      <w:r>
        <w:rPr>
          <w:rFonts w:ascii="Arial Black" w:eastAsia="Calibri" w:hAnsi="Arial Black"/>
          <w:sz w:val="32"/>
          <w:szCs w:val="32"/>
        </w:rPr>
        <w:t>PPTA industrial strategy 2015</w:t>
      </w:r>
    </w:p>
    <w:p w:rsidR="00ED7B8E" w:rsidRDefault="00ED7B8E" w:rsidP="007D55D1">
      <w:pPr>
        <w:pStyle w:val="NoSpacing"/>
        <w:jc w:val="center"/>
        <w:rPr>
          <w:rFonts w:ascii="Arial Black" w:eastAsia="Calibri" w:hAnsi="Arial Black"/>
          <w:sz w:val="32"/>
          <w:szCs w:val="32"/>
        </w:rPr>
      </w:pPr>
    </w:p>
    <w:p w:rsidR="00A27375" w:rsidRPr="00C963CF" w:rsidRDefault="00ED7B8E" w:rsidP="00C963CF">
      <w:pPr>
        <w:pStyle w:val="NoSpacing"/>
        <w:shd w:val="clear" w:color="auto" w:fill="000000" w:themeFill="text1"/>
        <w:jc w:val="center"/>
        <w:rPr>
          <w:rFonts w:ascii="Arial Black" w:eastAsia="Calibri" w:hAnsi="Arial Black"/>
          <w:color w:val="FFFFFF" w:themeColor="background1"/>
          <w:sz w:val="36"/>
          <w:szCs w:val="36"/>
        </w:rPr>
      </w:pPr>
      <w:r w:rsidRPr="00C963CF">
        <w:rPr>
          <w:rFonts w:ascii="Arial Black" w:eastAsia="Calibri" w:hAnsi="Arial Black"/>
          <w:color w:val="FFFFFF" w:themeColor="background1"/>
          <w:sz w:val="36"/>
          <w:szCs w:val="36"/>
        </w:rPr>
        <w:t>CONFIDENTIAL TO PPTA MEMBERS</w:t>
      </w:r>
    </w:p>
    <w:p w:rsidR="00A27375" w:rsidRPr="00EF4871" w:rsidRDefault="00A27375" w:rsidP="00EF4871">
      <w:pPr>
        <w:pStyle w:val="Heading1"/>
        <w:numPr>
          <w:ilvl w:val="0"/>
          <w:numId w:val="8"/>
        </w:numPr>
        <w:ind w:left="567" w:hanging="567"/>
        <w:rPr>
          <w:rFonts w:ascii="Arial Black" w:hAnsi="Arial Black"/>
          <w:color w:val="auto"/>
          <w:sz w:val="23"/>
          <w:szCs w:val="23"/>
        </w:rPr>
      </w:pPr>
      <w:bookmarkStart w:id="0" w:name="_Toc395179732"/>
      <w:r w:rsidRPr="00EF4871">
        <w:rPr>
          <w:rFonts w:ascii="Arial Black" w:hAnsi="Arial Black"/>
          <w:color w:val="auto"/>
          <w:sz w:val="23"/>
          <w:szCs w:val="23"/>
        </w:rPr>
        <w:t>Background</w:t>
      </w:r>
      <w:bookmarkEnd w:id="0"/>
    </w:p>
    <w:p w:rsidR="00A27375" w:rsidRDefault="00A27375" w:rsidP="00A27375">
      <w:pPr>
        <w:pStyle w:val="PlainText"/>
        <w:ind w:left="567"/>
        <w:jc w:val="both"/>
        <w:rPr>
          <w:rFonts w:ascii="Arial" w:hAnsi="Arial" w:cs="Arial"/>
          <w:sz w:val="23"/>
          <w:szCs w:val="23"/>
        </w:rPr>
      </w:pPr>
    </w:p>
    <w:p w:rsidR="00A27375" w:rsidRDefault="00A27375" w:rsidP="00A27375">
      <w:pPr>
        <w:pStyle w:val="PlainText"/>
        <w:ind w:left="1134" w:hanging="567"/>
        <w:jc w:val="both"/>
        <w:rPr>
          <w:rFonts w:ascii="Arial" w:hAnsi="Arial" w:cs="Arial"/>
          <w:sz w:val="23"/>
          <w:szCs w:val="23"/>
        </w:rPr>
      </w:pPr>
      <w:r>
        <w:rPr>
          <w:rFonts w:ascii="Arial" w:hAnsi="Arial" w:cs="Arial"/>
          <w:sz w:val="23"/>
          <w:szCs w:val="23"/>
        </w:rPr>
        <w:t>1.1</w:t>
      </w:r>
      <w:r>
        <w:rPr>
          <w:rFonts w:ascii="Arial" w:hAnsi="Arial" w:cs="Arial"/>
          <w:sz w:val="23"/>
          <w:szCs w:val="23"/>
        </w:rPr>
        <w:tab/>
      </w:r>
      <w:r w:rsidRPr="000C0194">
        <w:rPr>
          <w:rFonts w:ascii="Arial" w:hAnsi="Arial" w:cs="Arial"/>
          <w:sz w:val="23"/>
          <w:szCs w:val="23"/>
        </w:rPr>
        <w:t>The STCA expires on 30 June 2015 and</w:t>
      </w:r>
      <w:r>
        <w:rPr>
          <w:rFonts w:ascii="Arial" w:hAnsi="Arial" w:cs="Arial"/>
          <w:sz w:val="23"/>
          <w:szCs w:val="23"/>
        </w:rPr>
        <w:t>,</w:t>
      </w:r>
      <w:r w:rsidRPr="000C0194">
        <w:rPr>
          <w:rFonts w:ascii="Arial" w:hAnsi="Arial" w:cs="Arial"/>
          <w:sz w:val="23"/>
          <w:szCs w:val="23"/>
        </w:rPr>
        <w:t xml:space="preserve"> due to later expiry dates for our secondary principals and area school agreements, it is likely to be the only collective agreement we will be negotiating in 2015. </w:t>
      </w:r>
      <w:r w:rsidR="0002042E">
        <w:rPr>
          <w:rFonts w:ascii="Arial" w:hAnsi="Arial" w:cs="Arial"/>
          <w:sz w:val="23"/>
          <w:szCs w:val="23"/>
        </w:rPr>
        <w:t xml:space="preserve"> </w:t>
      </w:r>
      <w:r w:rsidRPr="000C0194">
        <w:rPr>
          <w:rFonts w:ascii="Arial" w:hAnsi="Arial" w:cs="Arial"/>
          <w:sz w:val="23"/>
          <w:szCs w:val="23"/>
        </w:rPr>
        <w:t xml:space="preserve">This </w:t>
      </w:r>
      <w:r>
        <w:rPr>
          <w:rFonts w:ascii="Arial" w:hAnsi="Arial" w:cs="Arial"/>
          <w:sz w:val="23"/>
          <w:szCs w:val="23"/>
        </w:rPr>
        <w:t>may be</w:t>
      </w:r>
      <w:r w:rsidRPr="000C0194">
        <w:rPr>
          <w:rFonts w:ascii="Arial" w:hAnsi="Arial" w:cs="Arial"/>
          <w:sz w:val="23"/>
          <w:szCs w:val="23"/>
        </w:rPr>
        <w:t xml:space="preserve"> just as well </w:t>
      </w:r>
      <w:r>
        <w:rPr>
          <w:rFonts w:ascii="Arial" w:hAnsi="Arial" w:cs="Arial"/>
          <w:sz w:val="23"/>
          <w:szCs w:val="23"/>
        </w:rPr>
        <w:t>as the STCA is our lead agreement</w:t>
      </w:r>
      <w:r w:rsidRPr="000C0194">
        <w:rPr>
          <w:rFonts w:ascii="Arial" w:hAnsi="Arial" w:cs="Arial"/>
          <w:sz w:val="23"/>
          <w:szCs w:val="23"/>
        </w:rPr>
        <w:t xml:space="preserve"> </w:t>
      </w:r>
      <w:r>
        <w:rPr>
          <w:rFonts w:ascii="Arial" w:hAnsi="Arial" w:cs="Arial"/>
          <w:sz w:val="23"/>
          <w:szCs w:val="23"/>
        </w:rPr>
        <w:t xml:space="preserve">and </w:t>
      </w:r>
      <w:r w:rsidRPr="000C0194">
        <w:rPr>
          <w:rFonts w:ascii="Arial" w:hAnsi="Arial" w:cs="Arial"/>
          <w:sz w:val="23"/>
          <w:szCs w:val="23"/>
        </w:rPr>
        <w:t xml:space="preserve">members </w:t>
      </w:r>
      <w:r>
        <w:rPr>
          <w:rFonts w:ascii="Arial" w:hAnsi="Arial" w:cs="Arial"/>
          <w:sz w:val="23"/>
          <w:szCs w:val="23"/>
        </w:rPr>
        <w:t xml:space="preserve">appear to be uniting around the need for a claim for pay increases to </w:t>
      </w:r>
      <w:r w:rsidRPr="000C0194">
        <w:rPr>
          <w:rFonts w:ascii="Arial" w:hAnsi="Arial" w:cs="Arial"/>
          <w:sz w:val="23"/>
          <w:szCs w:val="23"/>
        </w:rPr>
        <w:t xml:space="preserve">realign salaries after the last five years of very low </w:t>
      </w:r>
      <w:r>
        <w:rPr>
          <w:rFonts w:ascii="Arial" w:hAnsi="Arial" w:cs="Arial"/>
          <w:sz w:val="23"/>
          <w:szCs w:val="23"/>
        </w:rPr>
        <w:t>pay scale settlements.</w:t>
      </w:r>
    </w:p>
    <w:p w:rsidR="00A27375" w:rsidRDefault="00A27375" w:rsidP="00A27375">
      <w:pPr>
        <w:pStyle w:val="PlainText"/>
        <w:ind w:left="1134" w:hanging="567"/>
        <w:jc w:val="both"/>
        <w:rPr>
          <w:rFonts w:ascii="Arial" w:hAnsi="Arial" w:cs="Arial"/>
          <w:sz w:val="23"/>
          <w:szCs w:val="23"/>
        </w:rPr>
      </w:pPr>
    </w:p>
    <w:p w:rsidR="00A27375" w:rsidRDefault="00A27375" w:rsidP="00A27375">
      <w:pPr>
        <w:pStyle w:val="PlainText"/>
        <w:ind w:left="1134" w:hanging="567"/>
        <w:jc w:val="both"/>
        <w:rPr>
          <w:rFonts w:ascii="Arial" w:hAnsi="Arial" w:cs="Arial"/>
          <w:sz w:val="23"/>
          <w:szCs w:val="23"/>
        </w:rPr>
      </w:pPr>
      <w:r>
        <w:rPr>
          <w:rFonts w:ascii="Arial" w:hAnsi="Arial" w:cs="Arial"/>
          <w:sz w:val="23"/>
          <w:szCs w:val="23"/>
        </w:rPr>
        <w:t>1.2</w:t>
      </w:r>
      <w:r>
        <w:rPr>
          <w:rFonts w:ascii="Arial" w:hAnsi="Arial" w:cs="Arial"/>
          <w:sz w:val="23"/>
          <w:szCs w:val="23"/>
        </w:rPr>
        <w:tab/>
      </w:r>
      <w:r w:rsidRPr="000C0194">
        <w:rPr>
          <w:rFonts w:ascii="Arial" w:hAnsi="Arial" w:cs="Arial"/>
          <w:sz w:val="23"/>
          <w:szCs w:val="23"/>
        </w:rPr>
        <w:t>Regardless of which flavour of government we have</w:t>
      </w:r>
      <w:r>
        <w:rPr>
          <w:rFonts w:ascii="Arial" w:hAnsi="Arial" w:cs="Arial"/>
          <w:sz w:val="23"/>
          <w:szCs w:val="23"/>
        </w:rPr>
        <w:t xml:space="preserve"> next year</w:t>
      </w:r>
      <w:r w:rsidRPr="000C0194">
        <w:rPr>
          <w:rFonts w:ascii="Arial" w:hAnsi="Arial" w:cs="Arial"/>
          <w:sz w:val="23"/>
          <w:szCs w:val="23"/>
        </w:rPr>
        <w:t xml:space="preserve">, </w:t>
      </w:r>
      <w:r>
        <w:rPr>
          <w:rFonts w:ascii="Arial" w:hAnsi="Arial" w:cs="Arial"/>
          <w:sz w:val="23"/>
          <w:szCs w:val="23"/>
        </w:rPr>
        <w:t>any serious catch up salary</w:t>
      </w:r>
      <w:r w:rsidRPr="000C0194">
        <w:rPr>
          <w:rFonts w:ascii="Arial" w:hAnsi="Arial" w:cs="Arial"/>
          <w:sz w:val="23"/>
          <w:szCs w:val="23"/>
        </w:rPr>
        <w:t xml:space="preserve"> is unlikely to be achieved unless members feel so strongly</w:t>
      </w:r>
      <w:r w:rsidR="001D3263">
        <w:rPr>
          <w:rFonts w:ascii="Arial" w:hAnsi="Arial" w:cs="Arial"/>
          <w:sz w:val="23"/>
          <w:szCs w:val="23"/>
        </w:rPr>
        <w:t>,</w:t>
      </w:r>
      <w:r w:rsidRPr="000C0194">
        <w:rPr>
          <w:rFonts w:ascii="Arial" w:hAnsi="Arial" w:cs="Arial"/>
          <w:sz w:val="23"/>
          <w:szCs w:val="23"/>
        </w:rPr>
        <w:t xml:space="preserve"> </w:t>
      </w:r>
      <w:r w:rsidR="001D3263">
        <w:rPr>
          <w:rFonts w:ascii="Arial" w:hAnsi="Arial" w:cs="Arial"/>
          <w:sz w:val="23"/>
          <w:szCs w:val="23"/>
        </w:rPr>
        <w:t xml:space="preserve">they are </w:t>
      </w:r>
      <w:r w:rsidRPr="000C0194">
        <w:rPr>
          <w:rFonts w:ascii="Arial" w:hAnsi="Arial" w:cs="Arial"/>
          <w:sz w:val="23"/>
          <w:szCs w:val="23"/>
        </w:rPr>
        <w:t xml:space="preserve">prepared to take </w:t>
      </w:r>
      <w:r w:rsidR="001D3263">
        <w:rPr>
          <w:rFonts w:ascii="Arial" w:hAnsi="Arial" w:cs="Arial"/>
          <w:sz w:val="23"/>
          <w:szCs w:val="23"/>
        </w:rPr>
        <w:t xml:space="preserve">industrial </w:t>
      </w:r>
      <w:r w:rsidRPr="000C0194">
        <w:rPr>
          <w:rFonts w:ascii="Arial" w:hAnsi="Arial" w:cs="Arial"/>
          <w:sz w:val="23"/>
          <w:szCs w:val="23"/>
        </w:rPr>
        <w:t>action to achieve a substantial settlement.</w:t>
      </w:r>
      <w:r>
        <w:rPr>
          <w:rFonts w:ascii="Arial" w:hAnsi="Arial" w:cs="Arial"/>
          <w:sz w:val="23"/>
          <w:szCs w:val="23"/>
        </w:rPr>
        <w:t xml:space="preserve"> </w:t>
      </w:r>
      <w:r w:rsidR="0002042E">
        <w:rPr>
          <w:rFonts w:ascii="Arial" w:hAnsi="Arial" w:cs="Arial"/>
          <w:sz w:val="23"/>
          <w:szCs w:val="23"/>
        </w:rPr>
        <w:t xml:space="preserve"> </w:t>
      </w:r>
      <w:r>
        <w:rPr>
          <w:rFonts w:ascii="Arial" w:hAnsi="Arial" w:cs="Arial"/>
          <w:sz w:val="23"/>
          <w:szCs w:val="23"/>
        </w:rPr>
        <w:t>Preparation for this will need to include members, branches, regions and the national body in planning and s</w:t>
      </w:r>
      <w:r w:rsidR="0002042E">
        <w:rPr>
          <w:rFonts w:ascii="Arial" w:hAnsi="Arial" w:cs="Arial"/>
          <w:sz w:val="23"/>
          <w:szCs w:val="23"/>
        </w:rPr>
        <w:t>etting aside funds from now on.</w:t>
      </w:r>
    </w:p>
    <w:p w:rsidR="00A27375" w:rsidRDefault="00A27375" w:rsidP="00A27375">
      <w:pPr>
        <w:pStyle w:val="PlainText"/>
        <w:ind w:left="1134" w:hanging="567"/>
        <w:jc w:val="both"/>
        <w:rPr>
          <w:rFonts w:ascii="Arial" w:hAnsi="Arial" w:cs="Arial"/>
          <w:sz w:val="23"/>
          <w:szCs w:val="23"/>
        </w:rPr>
      </w:pPr>
    </w:p>
    <w:p w:rsidR="00A27375" w:rsidRPr="000C0194" w:rsidRDefault="00A27375" w:rsidP="00A27375">
      <w:pPr>
        <w:pStyle w:val="PlainText"/>
        <w:ind w:left="1134" w:hanging="567"/>
        <w:jc w:val="both"/>
        <w:rPr>
          <w:rFonts w:ascii="Arial" w:hAnsi="Arial" w:cs="Arial"/>
          <w:sz w:val="23"/>
          <w:szCs w:val="23"/>
        </w:rPr>
      </w:pPr>
      <w:r>
        <w:rPr>
          <w:rFonts w:ascii="Arial" w:hAnsi="Arial" w:cs="Arial"/>
          <w:sz w:val="23"/>
          <w:szCs w:val="23"/>
        </w:rPr>
        <w:t>1.3</w:t>
      </w:r>
      <w:r>
        <w:rPr>
          <w:rFonts w:ascii="Arial" w:hAnsi="Arial" w:cs="Arial"/>
          <w:sz w:val="23"/>
          <w:szCs w:val="23"/>
        </w:rPr>
        <w:tab/>
        <w:t xml:space="preserve">This paper proposes a strategy for teacher bargaining in 2015, based on consultation with members, branch and regional officers and national executive members. </w:t>
      </w:r>
      <w:r w:rsidR="0002042E">
        <w:rPr>
          <w:rFonts w:ascii="Arial" w:hAnsi="Arial" w:cs="Arial"/>
          <w:sz w:val="23"/>
          <w:szCs w:val="23"/>
        </w:rPr>
        <w:t xml:space="preserve"> </w:t>
      </w:r>
      <w:r>
        <w:rPr>
          <w:rFonts w:ascii="Arial" w:hAnsi="Arial" w:cs="Arial"/>
          <w:sz w:val="23"/>
          <w:szCs w:val="23"/>
        </w:rPr>
        <w:t>The paper aims to test the direction we believe members wish us to take in preparing a claim strat</w:t>
      </w:r>
      <w:r w:rsidR="0002042E">
        <w:rPr>
          <w:rFonts w:ascii="Arial" w:hAnsi="Arial" w:cs="Arial"/>
          <w:sz w:val="23"/>
          <w:szCs w:val="23"/>
        </w:rPr>
        <w:t>egy for 2015.</w:t>
      </w:r>
    </w:p>
    <w:p w:rsidR="00A27375" w:rsidRPr="00EF4871" w:rsidRDefault="00A27375" w:rsidP="00EF4871">
      <w:pPr>
        <w:pStyle w:val="Heading1"/>
        <w:numPr>
          <w:ilvl w:val="0"/>
          <w:numId w:val="8"/>
        </w:numPr>
        <w:ind w:left="567" w:hanging="567"/>
        <w:rPr>
          <w:rFonts w:ascii="Arial Black" w:hAnsi="Arial Black"/>
          <w:color w:val="auto"/>
          <w:sz w:val="23"/>
          <w:szCs w:val="23"/>
        </w:rPr>
      </w:pPr>
      <w:bookmarkStart w:id="1" w:name="_Toc395179733"/>
      <w:r w:rsidRPr="00EF4871">
        <w:rPr>
          <w:rFonts w:ascii="Arial Black" w:hAnsi="Arial Black"/>
          <w:color w:val="auto"/>
          <w:sz w:val="23"/>
          <w:szCs w:val="23"/>
        </w:rPr>
        <w:t xml:space="preserve">The 2015 environment – </w:t>
      </w:r>
      <w:r w:rsidR="001D3263" w:rsidRPr="00EF4871">
        <w:rPr>
          <w:rFonts w:ascii="Arial Black" w:hAnsi="Arial Black"/>
          <w:color w:val="auto"/>
          <w:sz w:val="23"/>
          <w:szCs w:val="23"/>
        </w:rPr>
        <w:t>political</w:t>
      </w:r>
      <w:r w:rsidR="001D3263">
        <w:rPr>
          <w:rFonts w:ascii="Arial Black" w:hAnsi="Arial Black"/>
          <w:color w:val="auto"/>
          <w:sz w:val="23"/>
          <w:szCs w:val="23"/>
        </w:rPr>
        <w:t>,</w:t>
      </w:r>
      <w:r w:rsidR="001D3263" w:rsidRPr="00EF4871">
        <w:rPr>
          <w:rFonts w:ascii="Arial Black" w:hAnsi="Arial Black"/>
          <w:color w:val="auto"/>
          <w:sz w:val="23"/>
          <w:szCs w:val="23"/>
        </w:rPr>
        <w:t xml:space="preserve"> economic and </w:t>
      </w:r>
      <w:r w:rsidRPr="00EF4871">
        <w:rPr>
          <w:rFonts w:ascii="Arial Black" w:hAnsi="Arial Black"/>
          <w:color w:val="auto"/>
          <w:sz w:val="23"/>
          <w:szCs w:val="23"/>
        </w:rPr>
        <w:t>industrial</w:t>
      </w:r>
      <w:bookmarkEnd w:id="1"/>
    </w:p>
    <w:p w:rsidR="00A27375" w:rsidRDefault="00A27375" w:rsidP="00A27375">
      <w:pPr>
        <w:pStyle w:val="PlainText"/>
        <w:tabs>
          <w:tab w:val="left" w:pos="1134"/>
        </w:tabs>
        <w:ind w:left="1134" w:hanging="567"/>
        <w:jc w:val="both"/>
        <w:rPr>
          <w:rFonts w:ascii="Arial" w:hAnsi="Arial" w:cs="Arial"/>
          <w:sz w:val="23"/>
          <w:szCs w:val="23"/>
        </w:rPr>
      </w:pPr>
    </w:p>
    <w:p w:rsidR="00A27375" w:rsidRPr="000E32E8" w:rsidRDefault="00A27375" w:rsidP="00A27375">
      <w:pPr>
        <w:pStyle w:val="PlainText"/>
        <w:tabs>
          <w:tab w:val="left" w:pos="1134"/>
        </w:tabs>
        <w:ind w:left="1134" w:hanging="567"/>
        <w:jc w:val="both"/>
        <w:rPr>
          <w:rFonts w:ascii="Arial" w:hAnsi="Arial" w:cs="Arial"/>
          <w:sz w:val="23"/>
          <w:szCs w:val="23"/>
        </w:rPr>
      </w:pPr>
      <w:r w:rsidRPr="000E32E8">
        <w:rPr>
          <w:rFonts w:ascii="Arial" w:hAnsi="Arial" w:cs="Arial"/>
          <w:sz w:val="23"/>
          <w:szCs w:val="23"/>
        </w:rPr>
        <w:t>2.1</w:t>
      </w:r>
      <w:r w:rsidRPr="000E32E8">
        <w:rPr>
          <w:rFonts w:ascii="Arial" w:hAnsi="Arial" w:cs="Arial"/>
          <w:sz w:val="23"/>
          <w:szCs w:val="23"/>
        </w:rPr>
        <w:tab/>
        <w:t xml:space="preserve">At the time of writing, some months prior to the election, it is somewhat difficult to predict the bargaining environment with any certainty. </w:t>
      </w:r>
      <w:r w:rsidR="0002042E">
        <w:rPr>
          <w:rFonts w:ascii="Arial" w:hAnsi="Arial" w:cs="Arial"/>
          <w:sz w:val="23"/>
          <w:szCs w:val="23"/>
        </w:rPr>
        <w:t xml:space="preserve"> </w:t>
      </w:r>
      <w:r w:rsidRPr="000E32E8">
        <w:rPr>
          <w:rFonts w:ascii="Arial" w:hAnsi="Arial" w:cs="Arial"/>
          <w:sz w:val="23"/>
          <w:szCs w:val="23"/>
        </w:rPr>
        <w:t>However</w:t>
      </w:r>
      <w:r w:rsidR="001D3263">
        <w:rPr>
          <w:rFonts w:ascii="Arial" w:hAnsi="Arial" w:cs="Arial"/>
          <w:sz w:val="23"/>
          <w:szCs w:val="23"/>
        </w:rPr>
        <w:t>,</w:t>
      </w:r>
      <w:r w:rsidRPr="000E32E8">
        <w:rPr>
          <w:rFonts w:ascii="Arial" w:hAnsi="Arial" w:cs="Arial"/>
          <w:sz w:val="23"/>
          <w:szCs w:val="23"/>
        </w:rPr>
        <w:t xml:space="preserve"> there are some aspects we c</w:t>
      </w:r>
      <w:r w:rsidR="0002042E">
        <w:rPr>
          <w:rFonts w:ascii="Arial" w:hAnsi="Arial" w:cs="Arial"/>
          <w:sz w:val="23"/>
          <w:szCs w:val="23"/>
        </w:rPr>
        <w:t>an be sure of.</w:t>
      </w:r>
    </w:p>
    <w:p w:rsidR="00A27375" w:rsidRPr="000E32E8" w:rsidRDefault="00A27375" w:rsidP="00A27375">
      <w:pPr>
        <w:pStyle w:val="PlainText"/>
        <w:tabs>
          <w:tab w:val="left" w:pos="1134"/>
        </w:tabs>
        <w:ind w:left="1134" w:hanging="567"/>
        <w:jc w:val="both"/>
        <w:rPr>
          <w:rFonts w:ascii="Arial" w:hAnsi="Arial" w:cs="Arial"/>
          <w:sz w:val="23"/>
          <w:szCs w:val="23"/>
        </w:rPr>
      </w:pPr>
    </w:p>
    <w:p w:rsidR="00A27375" w:rsidRPr="000E32E8" w:rsidRDefault="00A27375" w:rsidP="00A27375">
      <w:pPr>
        <w:pStyle w:val="PlainText"/>
        <w:tabs>
          <w:tab w:val="left" w:pos="1134"/>
        </w:tabs>
        <w:ind w:left="1134" w:hanging="567"/>
        <w:jc w:val="both"/>
        <w:rPr>
          <w:rFonts w:ascii="Arial" w:hAnsi="Arial" w:cs="Arial"/>
          <w:sz w:val="23"/>
          <w:szCs w:val="23"/>
        </w:rPr>
      </w:pPr>
      <w:r w:rsidRPr="000E32E8">
        <w:rPr>
          <w:rFonts w:ascii="Arial" w:hAnsi="Arial" w:cs="Arial"/>
          <w:sz w:val="23"/>
          <w:szCs w:val="23"/>
        </w:rPr>
        <w:t>2.2</w:t>
      </w:r>
      <w:r w:rsidRPr="000E32E8">
        <w:rPr>
          <w:rFonts w:ascii="Arial" w:hAnsi="Arial" w:cs="Arial"/>
          <w:sz w:val="23"/>
          <w:szCs w:val="23"/>
        </w:rPr>
        <w:tab/>
        <w:t xml:space="preserve">We have been told for some time </w:t>
      </w:r>
      <w:r w:rsidR="001D3263">
        <w:rPr>
          <w:rFonts w:ascii="Arial" w:hAnsi="Arial" w:cs="Arial"/>
          <w:sz w:val="23"/>
          <w:szCs w:val="23"/>
        </w:rPr>
        <w:t xml:space="preserve">that </w:t>
      </w:r>
      <w:r w:rsidRPr="000E32E8">
        <w:rPr>
          <w:rFonts w:ascii="Arial" w:hAnsi="Arial" w:cs="Arial"/>
          <w:sz w:val="23"/>
          <w:szCs w:val="23"/>
        </w:rPr>
        <w:t xml:space="preserve">we are out of recession and are likely to be further into the economic recovery period by the middle of next year. </w:t>
      </w:r>
      <w:r w:rsidR="0002042E">
        <w:rPr>
          <w:rFonts w:ascii="Arial" w:hAnsi="Arial" w:cs="Arial"/>
          <w:sz w:val="23"/>
          <w:szCs w:val="23"/>
        </w:rPr>
        <w:t xml:space="preserve"> </w:t>
      </w:r>
      <w:r w:rsidRPr="000E32E8">
        <w:rPr>
          <w:rFonts w:ascii="Arial" w:hAnsi="Arial" w:cs="Arial"/>
          <w:sz w:val="23"/>
          <w:szCs w:val="23"/>
        </w:rPr>
        <w:t xml:space="preserve">This will provide a better economic environment for negotiating salary increases. </w:t>
      </w:r>
      <w:r w:rsidR="0002042E">
        <w:rPr>
          <w:rFonts w:ascii="Arial" w:hAnsi="Arial" w:cs="Arial"/>
          <w:sz w:val="23"/>
          <w:szCs w:val="23"/>
        </w:rPr>
        <w:t xml:space="preserve"> </w:t>
      </w:r>
      <w:r w:rsidRPr="000E32E8">
        <w:rPr>
          <w:rFonts w:ascii="Arial" w:hAnsi="Arial" w:cs="Arial"/>
          <w:sz w:val="23"/>
          <w:szCs w:val="23"/>
        </w:rPr>
        <w:t xml:space="preserve">Bill English has spoken recently of wages increasing above inflation out to 2018 – with the average wage predicted to rise 20% while inflation tracks at 12%. </w:t>
      </w:r>
      <w:r w:rsidR="0002042E">
        <w:rPr>
          <w:rFonts w:ascii="Arial" w:hAnsi="Arial" w:cs="Arial"/>
          <w:sz w:val="23"/>
          <w:szCs w:val="23"/>
        </w:rPr>
        <w:t xml:space="preserve"> </w:t>
      </w:r>
      <w:r w:rsidRPr="000E32E8">
        <w:rPr>
          <w:rFonts w:ascii="Arial" w:hAnsi="Arial" w:cs="Arial"/>
          <w:sz w:val="23"/>
          <w:szCs w:val="23"/>
        </w:rPr>
        <w:t>However, under National-led governments, public sector workers are often amongst the last to benefi</w:t>
      </w:r>
      <w:r w:rsidR="0002042E">
        <w:rPr>
          <w:rFonts w:ascii="Arial" w:hAnsi="Arial" w:cs="Arial"/>
          <w:sz w:val="23"/>
          <w:szCs w:val="23"/>
        </w:rPr>
        <w:t>t from growth.</w:t>
      </w:r>
    </w:p>
    <w:p w:rsidR="00A27375" w:rsidRPr="000E32E8" w:rsidRDefault="00A27375" w:rsidP="00A27375">
      <w:pPr>
        <w:pStyle w:val="PlainText"/>
        <w:tabs>
          <w:tab w:val="left" w:pos="1134"/>
        </w:tabs>
        <w:ind w:left="1134" w:hanging="567"/>
        <w:jc w:val="both"/>
        <w:rPr>
          <w:rFonts w:ascii="Arial" w:hAnsi="Arial" w:cs="Arial"/>
          <w:sz w:val="23"/>
          <w:szCs w:val="23"/>
        </w:rPr>
      </w:pPr>
    </w:p>
    <w:p w:rsidR="00ED7B8E" w:rsidRDefault="00ED7B8E">
      <w:pPr>
        <w:rPr>
          <w:rFonts w:ascii="Arial" w:hAnsi="Arial" w:cs="Arial"/>
          <w:sz w:val="23"/>
          <w:szCs w:val="23"/>
        </w:rPr>
      </w:pPr>
      <w:r>
        <w:rPr>
          <w:rFonts w:ascii="Arial" w:hAnsi="Arial" w:cs="Arial"/>
          <w:sz w:val="23"/>
          <w:szCs w:val="23"/>
        </w:rPr>
        <w:br w:type="page"/>
      </w:r>
    </w:p>
    <w:p w:rsidR="00A27375" w:rsidRPr="000E32E8" w:rsidRDefault="00A27375" w:rsidP="00A27375">
      <w:pPr>
        <w:spacing w:after="0" w:line="240" w:lineRule="auto"/>
        <w:ind w:left="1134" w:right="-45" w:hanging="567"/>
        <w:jc w:val="both"/>
        <w:rPr>
          <w:rFonts w:ascii="Arial" w:hAnsi="Arial" w:cs="Arial"/>
          <w:sz w:val="23"/>
          <w:szCs w:val="23"/>
        </w:rPr>
      </w:pPr>
      <w:r w:rsidRPr="000E32E8">
        <w:rPr>
          <w:rFonts w:ascii="Arial" w:hAnsi="Arial" w:cs="Arial"/>
          <w:sz w:val="23"/>
          <w:szCs w:val="23"/>
        </w:rPr>
        <w:lastRenderedPageBreak/>
        <w:t>2.3</w:t>
      </w:r>
      <w:r w:rsidRPr="000E32E8">
        <w:rPr>
          <w:rFonts w:ascii="Arial" w:hAnsi="Arial" w:cs="Arial"/>
          <w:sz w:val="23"/>
          <w:szCs w:val="23"/>
        </w:rPr>
        <w:tab/>
        <w:t>Industrially, if a National</w:t>
      </w:r>
      <w:r>
        <w:rPr>
          <w:rFonts w:ascii="Arial" w:hAnsi="Arial" w:cs="Arial"/>
          <w:sz w:val="23"/>
          <w:szCs w:val="23"/>
        </w:rPr>
        <w:t>-</w:t>
      </w:r>
      <w:r w:rsidRPr="000E32E8">
        <w:rPr>
          <w:rFonts w:ascii="Arial" w:hAnsi="Arial" w:cs="Arial"/>
          <w:sz w:val="23"/>
          <w:szCs w:val="23"/>
        </w:rPr>
        <w:t xml:space="preserve">led government is back in power, the undermining of industrial protections and rights that unions and employees currently have cannot be underestimated. </w:t>
      </w:r>
      <w:r w:rsidR="0002042E">
        <w:rPr>
          <w:rFonts w:ascii="Arial" w:hAnsi="Arial" w:cs="Arial"/>
          <w:sz w:val="23"/>
          <w:szCs w:val="23"/>
        </w:rPr>
        <w:t xml:space="preserve"> </w:t>
      </w:r>
      <w:r w:rsidRPr="000E32E8">
        <w:rPr>
          <w:rFonts w:ascii="Arial" w:hAnsi="Arial" w:cs="Arial"/>
          <w:sz w:val="23"/>
          <w:szCs w:val="23"/>
        </w:rPr>
        <w:t xml:space="preserve">While the government’s Employment Relations </w:t>
      </w:r>
      <w:r w:rsidR="00B662F2">
        <w:rPr>
          <w:rFonts w:ascii="Arial" w:hAnsi="Arial" w:cs="Arial"/>
          <w:sz w:val="23"/>
          <w:szCs w:val="23"/>
        </w:rPr>
        <w:t xml:space="preserve">Amendment </w:t>
      </w:r>
      <w:r w:rsidRPr="000E32E8">
        <w:rPr>
          <w:rFonts w:ascii="Arial" w:hAnsi="Arial" w:cs="Arial"/>
          <w:sz w:val="23"/>
          <w:szCs w:val="23"/>
        </w:rPr>
        <w:t xml:space="preserve">Bill will not be passed prior to the election, they have promised to pass it within their first 100 days, i.e. long before we will be negotiating any of our current collective agreements. </w:t>
      </w:r>
      <w:r w:rsidR="0002042E">
        <w:rPr>
          <w:rFonts w:ascii="Arial" w:hAnsi="Arial" w:cs="Arial"/>
          <w:sz w:val="23"/>
          <w:szCs w:val="23"/>
        </w:rPr>
        <w:t xml:space="preserve"> </w:t>
      </w:r>
      <w:r w:rsidRPr="000E32E8">
        <w:rPr>
          <w:rFonts w:ascii="Arial" w:hAnsi="Arial" w:cs="Arial"/>
          <w:sz w:val="23"/>
          <w:szCs w:val="23"/>
        </w:rPr>
        <w:t xml:space="preserve">The Bill will introduce a number of anti-employee provisions, </w:t>
      </w:r>
      <w:r w:rsidR="00B662F2">
        <w:rPr>
          <w:rFonts w:ascii="Arial" w:hAnsi="Arial" w:cs="Arial"/>
          <w:sz w:val="23"/>
          <w:szCs w:val="23"/>
        </w:rPr>
        <w:t>for example</w:t>
      </w:r>
      <w:r w:rsidRPr="000E32E8">
        <w:rPr>
          <w:rFonts w:ascii="Arial" w:hAnsi="Arial" w:cs="Arial"/>
          <w:sz w:val="23"/>
          <w:szCs w:val="23"/>
        </w:rPr>
        <w:t xml:space="preserve"> removing the right to meal or rest breaks, or denying access by teachers or their union to information </w:t>
      </w:r>
      <w:r w:rsidRPr="000E32E8">
        <w:rPr>
          <w:rFonts w:ascii="Arial" w:hAnsi="Arial" w:cs="Arial"/>
          <w:color w:val="000000"/>
          <w:sz w:val="23"/>
          <w:szCs w:val="23"/>
        </w:rPr>
        <w:t>relevant for disciplinary or competence procedures and redundancy</w:t>
      </w:r>
      <w:r w:rsidR="0002042E">
        <w:rPr>
          <w:rFonts w:ascii="Arial" w:hAnsi="Arial" w:cs="Arial"/>
          <w:sz w:val="23"/>
          <w:szCs w:val="23"/>
        </w:rPr>
        <w:t>.</w:t>
      </w:r>
    </w:p>
    <w:p w:rsidR="00A27375" w:rsidRPr="000E32E8" w:rsidRDefault="00A27375" w:rsidP="00A27375">
      <w:pPr>
        <w:pStyle w:val="PlainText"/>
        <w:tabs>
          <w:tab w:val="left" w:pos="1134"/>
        </w:tabs>
        <w:ind w:left="1134" w:right="-46" w:hanging="567"/>
        <w:jc w:val="both"/>
        <w:rPr>
          <w:rFonts w:ascii="Arial" w:hAnsi="Arial" w:cs="Arial"/>
          <w:sz w:val="23"/>
          <w:szCs w:val="23"/>
        </w:rPr>
      </w:pPr>
    </w:p>
    <w:p w:rsidR="00A27375" w:rsidRPr="000E32E8" w:rsidRDefault="001D3263" w:rsidP="00A27375">
      <w:pPr>
        <w:pStyle w:val="PlainText"/>
        <w:tabs>
          <w:tab w:val="left" w:pos="1134"/>
        </w:tabs>
        <w:ind w:left="1134" w:right="-45" w:hanging="567"/>
        <w:jc w:val="both"/>
        <w:rPr>
          <w:rFonts w:ascii="Arial" w:hAnsi="Arial" w:cs="Arial"/>
          <w:sz w:val="23"/>
          <w:szCs w:val="23"/>
        </w:rPr>
      </w:pPr>
      <w:r>
        <w:rPr>
          <w:rFonts w:ascii="Arial" w:hAnsi="Arial" w:cs="Arial"/>
          <w:sz w:val="23"/>
          <w:szCs w:val="23"/>
        </w:rPr>
        <w:t>2.4</w:t>
      </w:r>
      <w:r>
        <w:rPr>
          <w:rFonts w:ascii="Arial" w:hAnsi="Arial" w:cs="Arial"/>
          <w:sz w:val="23"/>
          <w:szCs w:val="23"/>
        </w:rPr>
        <w:tab/>
        <w:t>E</w:t>
      </w:r>
      <w:r w:rsidR="00A27375" w:rsidRPr="000E32E8">
        <w:rPr>
          <w:rFonts w:ascii="Arial" w:hAnsi="Arial" w:cs="Arial"/>
          <w:sz w:val="23"/>
          <w:szCs w:val="23"/>
        </w:rPr>
        <w:t>ven more serious</w:t>
      </w:r>
      <w:r>
        <w:rPr>
          <w:rFonts w:ascii="Arial" w:hAnsi="Arial" w:cs="Arial"/>
          <w:sz w:val="23"/>
          <w:szCs w:val="23"/>
        </w:rPr>
        <w:t>, are</w:t>
      </w:r>
      <w:r w:rsidR="00A27375" w:rsidRPr="000E32E8">
        <w:rPr>
          <w:rFonts w:ascii="Arial" w:hAnsi="Arial" w:cs="Arial"/>
          <w:sz w:val="23"/>
          <w:szCs w:val="23"/>
        </w:rPr>
        <w:t xml:space="preserve"> major</w:t>
      </w:r>
      <w:r>
        <w:rPr>
          <w:rFonts w:ascii="Arial" w:hAnsi="Arial" w:cs="Arial"/>
          <w:sz w:val="23"/>
          <w:szCs w:val="23"/>
        </w:rPr>
        <w:t xml:space="preserve"> changes which will</w:t>
      </w:r>
      <w:r w:rsidR="00A27375" w:rsidRPr="000E32E8">
        <w:rPr>
          <w:rFonts w:ascii="Arial" w:hAnsi="Arial" w:cs="Arial"/>
          <w:sz w:val="23"/>
          <w:szCs w:val="23"/>
        </w:rPr>
        <w:t xml:space="preserve"> seriously undermine collective bargaining by</w:t>
      </w:r>
      <w:r w:rsidR="00A27375">
        <w:rPr>
          <w:rFonts w:ascii="Arial" w:hAnsi="Arial" w:cs="Arial"/>
          <w:sz w:val="23"/>
          <w:szCs w:val="23"/>
        </w:rPr>
        <w:t>:</w:t>
      </w:r>
    </w:p>
    <w:p w:rsidR="00A27375" w:rsidRPr="000E32E8" w:rsidRDefault="00A27375" w:rsidP="00A27375">
      <w:pPr>
        <w:pStyle w:val="PlainText"/>
        <w:tabs>
          <w:tab w:val="left" w:pos="1134"/>
        </w:tabs>
        <w:ind w:left="1134" w:right="-45" w:hanging="567"/>
        <w:jc w:val="both"/>
        <w:rPr>
          <w:rFonts w:ascii="Arial" w:hAnsi="Arial" w:cs="Arial"/>
          <w:sz w:val="12"/>
          <w:szCs w:val="12"/>
        </w:rPr>
      </w:pPr>
    </w:p>
    <w:p w:rsidR="00A27375" w:rsidRPr="000E32E8" w:rsidRDefault="00A27375" w:rsidP="009865AC">
      <w:pPr>
        <w:numPr>
          <w:ilvl w:val="0"/>
          <w:numId w:val="6"/>
        </w:numPr>
        <w:spacing w:after="120" w:line="240" w:lineRule="auto"/>
        <w:ind w:left="1701" w:right="-45" w:hanging="567"/>
        <w:jc w:val="both"/>
        <w:rPr>
          <w:rFonts w:ascii="Arial" w:hAnsi="Arial" w:cs="Arial"/>
          <w:sz w:val="23"/>
          <w:szCs w:val="23"/>
        </w:rPr>
      </w:pPr>
      <w:r w:rsidRPr="000E32E8">
        <w:rPr>
          <w:rFonts w:ascii="Arial" w:hAnsi="Arial" w:cs="Arial"/>
          <w:sz w:val="23"/>
          <w:szCs w:val="23"/>
        </w:rPr>
        <w:t>removing the duty to conclude bargaining, i.e. allowing the Ministry to simply walk away from negotiations</w:t>
      </w:r>
      <w:r>
        <w:rPr>
          <w:rFonts w:ascii="Arial" w:hAnsi="Arial" w:cs="Arial"/>
          <w:sz w:val="23"/>
          <w:szCs w:val="23"/>
        </w:rPr>
        <w:t>;</w:t>
      </w:r>
    </w:p>
    <w:p w:rsidR="00A27375" w:rsidRPr="000E32E8" w:rsidRDefault="00A27375" w:rsidP="009865AC">
      <w:pPr>
        <w:numPr>
          <w:ilvl w:val="0"/>
          <w:numId w:val="6"/>
        </w:numPr>
        <w:spacing w:after="120" w:line="240" w:lineRule="auto"/>
        <w:ind w:left="1701" w:right="-45" w:hanging="567"/>
        <w:jc w:val="both"/>
        <w:rPr>
          <w:rFonts w:ascii="Arial" w:hAnsi="Arial" w:cs="Arial"/>
          <w:sz w:val="23"/>
          <w:szCs w:val="23"/>
        </w:rPr>
      </w:pPr>
      <w:r w:rsidRPr="000E32E8">
        <w:rPr>
          <w:rFonts w:ascii="Arial" w:hAnsi="Arial" w:cs="Arial"/>
          <w:color w:val="000000"/>
          <w:sz w:val="23"/>
          <w:szCs w:val="23"/>
        </w:rPr>
        <w:t>imposing a 60 day stand-down period before bargaining could be reinitiated</w:t>
      </w:r>
      <w:r>
        <w:rPr>
          <w:rFonts w:ascii="Arial" w:hAnsi="Arial" w:cs="Arial"/>
          <w:color w:val="000000"/>
          <w:sz w:val="23"/>
          <w:szCs w:val="23"/>
        </w:rPr>
        <w:t>;</w:t>
      </w:r>
    </w:p>
    <w:p w:rsidR="00A27375" w:rsidRPr="000E32E8" w:rsidRDefault="00A27375" w:rsidP="009865AC">
      <w:pPr>
        <w:numPr>
          <w:ilvl w:val="0"/>
          <w:numId w:val="6"/>
        </w:numPr>
        <w:spacing w:after="120" w:line="240" w:lineRule="auto"/>
        <w:ind w:left="1701" w:right="-45" w:hanging="567"/>
        <w:jc w:val="both"/>
        <w:rPr>
          <w:rFonts w:ascii="Arial" w:hAnsi="Arial" w:cs="Arial"/>
          <w:sz w:val="23"/>
          <w:szCs w:val="23"/>
        </w:rPr>
      </w:pPr>
      <w:r w:rsidRPr="000E32E8">
        <w:rPr>
          <w:rFonts w:ascii="Arial" w:hAnsi="Arial" w:cs="Arial"/>
          <w:sz w:val="23"/>
          <w:szCs w:val="23"/>
        </w:rPr>
        <w:t>allowing the Ministry to arbitrarily deduct up to 10% of teachers’ salaries for “partial strikes”</w:t>
      </w:r>
      <w:r>
        <w:rPr>
          <w:rFonts w:ascii="Arial" w:hAnsi="Arial" w:cs="Arial"/>
          <w:sz w:val="23"/>
          <w:szCs w:val="23"/>
        </w:rPr>
        <w:t>;</w:t>
      </w:r>
      <w:r w:rsidR="004F059C">
        <w:rPr>
          <w:rFonts w:ascii="Arial" w:hAnsi="Arial" w:cs="Arial"/>
          <w:sz w:val="23"/>
          <w:szCs w:val="23"/>
        </w:rPr>
        <w:t xml:space="preserve"> </w:t>
      </w:r>
      <w:r w:rsidR="001D3263">
        <w:rPr>
          <w:rFonts w:ascii="Arial" w:hAnsi="Arial" w:cs="Arial"/>
          <w:sz w:val="23"/>
          <w:szCs w:val="23"/>
        </w:rPr>
        <w:t>and</w:t>
      </w:r>
    </w:p>
    <w:p w:rsidR="00A27375" w:rsidRPr="000E32E8" w:rsidRDefault="00A27375" w:rsidP="00A27375">
      <w:pPr>
        <w:numPr>
          <w:ilvl w:val="0"/>
          <w:numId w:val="6"/>
        </w:numPr>
        <w:spacing w:after="0" w:line="240" w:lineRule="auto"/>
        <w:ind w:left="1701" w:right="-45" w:hanging="567"/>
        <w:contextualSpacing/>
        <w:jc w:val="both"/>
        <w:rPr>
          <w:rFonts w:ascii="Arial" w:hAnsi="Arial" w:cs="Arial"/>
          <w:sz w:val="23"/>
          <w:szCs w:val="23"/>
        </w:rPr>
      </w:pPr>
      <w:proofErr w:type="gramStart"/>
      <w:r w:rsidRPr="000E32E8">
        <w:rPr>
          <w:rFonts w:ascii="Arial" w:hAnsi="Arial" w:cs="Arial"/>
          <w:sz w:val="23"/>
          <w:szCs w:val="23"/>
        </w:rPr>
        <w:t>removing</w:t>
      </w:r>
      <w:proofErr w:type="gramEnd"/>
      <w:r w:rsidRPr="000E32E8">
        <w:rPr>
          <w:rFonts w:ascii="Arial" w:hAnsi="Arial" w:cs="Arial"/>
          <w:sz w:val="23"/>
          <w:szCs w:val="23"/>
        </w:rPr>
        <w:t xml:space="preserve"> protection for new teachers who would not be automatically covered by the collective agreement </w:t>
      </w:r>
      <w:r w:rsidR="0002042E">
        <w:rPr>
          <w:rFonts w:ascii="Arial" w:hAnsi="Arial" w:cs="Arial"/>
          <w:sz w:val="23"/>
          <w:szCs w:val="23"/>
        </w:rPr>
        <w:t>in their first 30 days of work.</w:t>
      </w:r>
    </w:p>
    <w:p w:rsidR="00A27375" w:rsidRPr="0002042E" w:rsidRDefault="00A27375" w:rsidP="0002042E">
      <w:pPr>
        <w:pStyle w:val="PlainText"/>
        <w:tabs>
          <w:tab w:val="left" w:pos="1134"/>
        </w:tabs>
        <w:ind w:left="1134" w:right="-46" w:hanging="567"/>
        <w:jc w:val="both"/>
        <w:rPr>
          <w:rFonts w:ascii="Arial" w:hAnsi="Arial" w:cs="Arial"/>
          <w:sz w:val="23"/>
          <w:szCs w:val="23"/>
        </w:rPr>
      </w:pPr>
    </w:p>
    <w:p w:rsidR="00A27375" w:rsidRPr="00ED7B8E" w:rsidRDefault="00A27375" w:rsidP="00ED7B8E">
      <w:pPr>
        <w:pStyle w:val="ListParagraph"/>
        <w:numPr>
          <w:ilvl w:val="1"/>
          <w:numId w:val="8"/>
        </w:numPr>
        <w:spacing w:after="0" w:line="240" w:lineRule="auto"/>
        <w:ind w:left="1134" w:hanging="567"/>
        <w:jc w:val="both"/>
        <w:rPr>
          <w:rFonts w:ascii="Arial" w:hAnsi="Arial" w:cs="Arial"/>
          <w:sz w:val="23"/>
          <w:szCs w:val="23"/>
        </w:rPr>
      </w:pPr>
      <w:r w:rsidRPr="00ED7B8E">
        <w:rPr>
          <w:rFonts w:ascii="Arial" w:hAnsi="Arial" w:cs="Arial"/>
          <w:sz w:val="23"/>
          <w:szCs w:val="23"/>
        </w:rPr>
        <w:t xml:space="preserve">If there is a Labour-led coalition in government in 2015 it will not necessarily be easy sailing for PPTA members to achieve significant pay increases either. </w:t>
      </w:r>
      <w:r w:rsidR="0002042E">
        <w:rPr>
          <w:rFonts w:ascii="Arial" w:hAnsi="Arial" w:cs="Arial"/>
          <w:sz w:val="23"/>
          <w:szCs w:val="23"/>
        </w:rPr>
        <w:t xml:space="preserve"> </w:t>
      </w:r>
      <w:r w:rsidRPr="00ED7B8E">
        <w:rPr>
          <w:rFonts w:ascii="Arial" w:hAnsi="Arial" w:cs="Arial"/>
          <w:sz w:val="23"/>
          <w:szCs w:val="23"/>
        </w:rPr>
        <w:t xml:space="preserve">While Andrew </w:t>
      </w:r>
      <w:proofErr w:type="gramStart"/>
      <w:r w:rsidRPr="00ED7B8E">
        <w:rPr>
          <w:rFonts w:ascii="Arial" w:hAnsi="Arial" w:cs="Arial"/>
          <w:sz w:val="23"/>
          <w:szCs w:val="23"/>
        </w:rPr>
        <w:t>Little</w:t>
      </w:r>
      <w:proofErr w:type="gramEnd"/>
      <w:r w:rsidRPr="00ED7B8E">
        <w:rPr>
          <w:rFonts w:ascii="Arial" w:hAnsi="Arial" w:cs="Arial"/>
          <w:sz w:val="23"/>
          <w:szCs w:val="23"/>
        </w:rPr>
        <w:t xml:space="preserve"> has spoken publicly in recent times about workers needing to see 4% pay increases in coming years, the need to show fiscal restraint will weigh heavily.  Labour has promised</w:t>
      </w:r>
      <w:r w:rsidR="004F059C" w:rsidRPr="00ED7B8E">
        <w:rPr>
          <w:rFonts w:ascii="Arial" w:hAnsi="Arial" w:cs="Arial"/>
          <w:sz w:val="23"/>
          <w:szCs w:val="23"/>
        </w:rPr>
        <w:t xml:space="preserve"> to run surpluses in government</w:t>
      </w:r>
      <w:r w:rsidRPr="00ED7B8E">
        <w:rPr>
          <w:rFonts w:ascii="Arial" w:hAnsi="Arial" w:cs="Arial"/>
          <w:sz w:val="23"/>
          <w:szCs w:val="23"/>
        </w:rPr>
        <w:t xml:space="preserve"> but has also committed significant funding in education to ensure 100% trained and qualified early childhood education teachers</w:t>
      </w:r>
      <w:r w:rsidR="001D3263" w:rsidRPr="00ED7B8E">
        <w:rPr>
          <w:rFonts w:ascii="Arial" w:hAnsi="Arial" w:cs="Arial"/>
          <w:sz w:val="23"/>
          <w:szCs w:val="23"/>
        </w:rPr>
        <w:t xml:space="preserve"> and </w:t>
      </w:r>
      <w:r w:rsidR="004F059C" w:rsidRPr="00ED7B8E">
        <w:rPr>
          <w:rFonts w:ascii="Arial" w:hAnsi="Arial" w:cs="Arial"/>
          <w:sz w:val="23"/>
          <w:szCs w:val="23"/>
        </w:rPr>
        <w:t>to reducing</w:t>
      </w:r>
      <w:r w:rsidR="001D3263" w:rsidRPr="00ED7B8E">
        <w:rPr>
          <w:rFonts w:ascii="Arial" w:hAnsi="Arial" w:cs="Arial"/>
          <w:sz w:val="23"/>
          <w:szCs w:val="23"/>
        </w:rPr>
        <w:t xml:space="preserve"> class sizes</w:t>
      </w:r>
      <w:r w:rsidR="0002042E">
        <w:rPr>
          <w:rFonts w:ascii="Arial" w:hAnsi="Arial" w:cs="Arial"/>
          <w:sz w:val="23"/>
          <w:szCs w:val="23"/>
        </w:rPr>
        <w:t>.</w:t>
      </w:r>
    </w:p>
    <w:p w:rsidR="00A27375" w:rsidRPr="00A27375" w:rsidRDefault="00A27375" w:rsidP="00A27375">
      <w:pPr>
        <w:pStyle w:val="ListParagraph"/>
        <w:spacing w:after="0" w:line="240" w:lineRule="auto"/>
        <w:ind w:left="1134" w:hanging="567"/>
        <w:jc w:val="both"/>
        <w:rPr>
          <w:rFonts w:ascii="Arial" w:hAnsi="Arial" w:cs="Arial"/>
          <w:sz w:val="23"/>
          <w:szCs w:val="23"/>
        </w:rPr>
      </w:pPr>
    </w:p>
    <w:p w:rsidR="00A27375" w:rsidRPr="00ED7B8E" w:rsidRDefault="00A27375" w:rsidP="00ED7B8E">
      <w:pPr>
        <w:pStyle w:val="ListParagraph"/>
        <w:numPr>
          <w:ilvl w:val="1"/>
          <w:numId w:val="8"/>
        </w:numPr>
        <w:spacing w:after="0" w:line="240" w:lineRule="auto"/>
        <w:ind w:left="1134" w:hanging="567"/>
        <w:jc w:val="both"/>
        <w:rPr>
          <w:rFonts w:ascii="Arial" w:hAnsi="Arial" w:cs="Arial"/>
          <w:sz w:val="23"/>
          <w:szCs w:val="23"/>
        </w:rPr>
      </w:pPr>
      <w:r w:rsidRPr="00ED7B8E">
        <w:rPr>
          <w:rFonts w:ascii="Arial" w:hAnsi="Arial" w:cs="Arial"/>
          <w:sz w:val="23"/>
          <w:szCs w:val="23"/>
        </w:rPr>
        <w:t>While a Labour-led government may not necessarily be better for PPTA in terms of winning a significant</w:t>
      </w:r>
      <w:r w:rsidR="00EA2A40" w:rsidRPr="00ED7B8E">
        <w:rPr>
          <w:rFonts w:ascii="Arial" w:hAnsi="Arial" w:cs="Arial"/>
          <w:sz w:val="23"/>
          <w:szCs w:val="23"/>
        </w:rPr>
        <w:t xml:space="preserve"> pay</w:t>
      </w:r>
      <w:r w:rsidRPr="00ED7B8E">
        <w:rPr>
          <w:rFonts w:ascii="Arial" w:hAnsi="Arial" w:cs="Arial"/>
          <w:sz w:val="23"/>
          <w:szCs w:val="23"/>
        </w:rPr>
        <w:t xml:space="preserve"> increase in bargaining</w:t>
      </w:r>
      <w:r w:rsidR="00904044" w:rsidRPr="00ED7B8E">
        <w:rPr>
          <w:rFonts w:ascii="Arial" w:hAnsi="Arial" w:cs="Arial"/>
          <w:sz w:val="23"/>
          <w:szCs w:val="23"/>
        </w:rPr>
        <w:t xml:space="preserve"> </w:t>
      </w:r>
      <w:r w:rsidRPr="00ED7B8E">
        <w:rPr>
          <w:rFonts w:ascii="Arial" w:hAnsi="Arial" w:cs="Arial"/>
          <w:sz w:val="23"/>
          <w:szCs w:val="23"/>
        </w:rPr>
        <w:t xml:space="preserve">in 2015, it would certainly provide a more favourable industrial and education climate generally. </w:t>
      </w:r>
      <w:r w:rsidR="0002042E">
        <w:rPr>
          <w:rFonts w:ascii="Arial" w:hAnsi="Arial" w:cs="Arial"/>
          <w:sz w:val="23"/>
          <w:szCs w:val="23"/>
        </w:rPr>
        <w:t xml:space="preserve"> </w:t>
      </w:r>
      <w:r w:rsidRPr="00ED7B8E">
        <w:rPr>
          <w:rFonts w:ascii="Arial" w:hAnsi="Arial" w:cs="Arial"/>
          <w:sz w:val="23"/>
          <w:szCs w:val="23"/>
        </w:rPr>
        <w:t xml:space="preserve">With commitments to extend the rights of workers to collectively bargain, and develop industry wide standards to form the basis of collective agreements, this is a markedly preferable </w:t>
      </w:r>
      <w:r w:rsidR="00904044" w:rsidRPr="00ED7B8E">
        <w:rPr>
          <w:rFonts w:ascii="Arial" w:hAnsi="Arial" w:cs="Arial"/>
          <w:sz w:val="23"/>
          <w:szCs w:val="23"/>
        </w:rPr>
        <w:t>option</w:t>
      </w:r>
      <w:r w:rsidR="00735630" w:rsidRPr="00ED7B8E">
        <w:rPr>
          <w:rFonts w:ascii="Arial" w:hAnsi="Arial" w:cs="Arial"/>
          <w:sz w:val="23"/>
          <w:szCs w:val="23"/>
        </w:rPr>
        <w:t xml:space="preserve"> </w:t>
      </w:r>
      <w:r w:rsidR="0002042E">
        <w:rPr>
          <w:rFonts w:ascii="Arial" w:hAnsi="Arial" w:cs="Arial"/>
          <w:sz w:val="23"/>
          <w:szCs w:val="23"/>
        </w:rPr>
        <w:t>for our bargaining environment.</w:t>
      </w:r>
    </w:p>
    <w:p w:rsidR="00A27375" w:rsidRPr="00EF4871" w:rsidRDefault="00A27375" w:rsidP="00EF4871">
      <w:pPr>
        <w:pStyle w:val="Heading1"/>
        <w:numPr>
          <w:ilvl w:val="0"/>
          <w:numId w:val="8"/>
        </w:numPr>
        <w:ind w:left="567" w:hanging="567"/>
        <w:rPr>
          <w:rFonts w:ascii="Arial Black" w:hAnsi="Arial Black"/>
          <w:color w:val="auto"/>
          <w:sz w:val="23"/>
          <w:szCs w:val="23"/>
        </w:rPr>
      </w:pPr>
      <w:bookmarkStart w:id="2" w:name="_Toc395179734"/>
      <w:r w:rsidRPr="00EF4871">
        <w:rPr>
          <w:rFonts w:ascii="Arial Black" w:hAnsi="Arial Black"/>
          <w:color w:val="auto"/>
          <w:sz w:val="23"/>
          <w:szCs w:val="23"/>
        </w:rPr>
        <w:t>Members expectations</w:t>
      </w:r>
      <w:bookmarkEnd w:id="2"/>
    </w:p>
    <w:p w:rsidR="00A27375" w:rsidRPr="0002042E" w:rsidRDefault="00A27375" w:rsidP="00A27375">
      <w:pPr>
        <w:pStyle w:val="PlainText"/>
        <w:ind w:left="567"/>
        <w:jc w:val="both"/>
        <w:rPr>
          <w:rFonts w:ascii="Arial" w:hAnsi="Arial" w:cs="Arial"/>
          <w:sz w:val="23"/>
          <w:szCs w:val="23"/>
        </w:rPr>
      </w:pPr>
    </w:p>
    <w:p w:rsidR="00A27375" w:rsidRDefault="00A27375" w:rsidP="00A27375">
      <w:pPr>
        <w:pStyle w:val="PlainText"/>
        <w:ind w:left="1134" w:hanging="567"/>
        <w:jc w:val="both"/>
        <w:rPr>
          <w:rFonts w:ascii="Arial" w:hAnsi="Arial" w:cs="Arial"/>
          <w:sz w:val="23"/>
          <w:szCs w:val="23"/>
        </w:rPr>
      </w:pPr>
      <w:r w:rsidRPr="00C11CF2">
        <w:rPr>
          <w:rFonts w:ascii="Arial" w:hAnsi="Arial" w:cs="Arial"/>
          <w:sz w:val="23"/>
          <w:szCs w:val="23"/>
        </w:rPr>
        <w:t>3.1</w:t>
      </w:r>
      <w:r w:rsidRPr="00C11CF2">
        <w:rPr>
          <w:rFonts w:ascii="Arial" w:hAnsi="Arial" w:cs="Arial"/>
          <w:sz w:val="23"/>
          <w:szCs w:val="23"/>
        </w:rPr>
        <w:tab/>
      </w:r>
      <w:r>
        <w:rPr>
          <w:rFonts w:ascii="Arial" w:hAnsi="Arial" w:cs="Arial"/>
          <w:sz w:val="23"/>
          <w:szCs w:val="23"/>
        </w:rPr>
        <w:t>Over the past year, we have heard both from e</w:t>
      </w:r>
      <w:r w:rsidRPr="00C11CF2">
        <w:rPr>
          <w:rFonts w:ascii="Arial" w:hAnsi="Arial" w:cs="Arial"/>
          <w:sz w:val="23"/>
          <w:szCs w:val="23"/>
        </w:rPr>
        <w:t xml:space="preserve">xecutive members and regional officers that members are expressing a clear preference for salary over conditions in the next round of collective bargaining. </w:t>
      </w:r>
      <w:r w:rsidR="00B71440">
        <w:rPr>
          <w:rFonts w:ascii="Arial" w:hAnsi="Arial" w:cs="Arial"/>
          <w:sz w:val="23"/>
          <w:szCs w:val="23"/>
        </w:rPr>
        <w:t xml:space="preserve"> </w:t>
      </w:r>
      <w:r w:rsidRPr="00C11CF2">
        <w:rPr>
          <w:rFonts w:ascii="Arial" w:hAnsi="Arial" w:cs="Arial"/>
          <w:sz w:val="23"/>
          <w:szCs w:val="23"/>
        </w:rPr>
        <w:t xml:space="preserve">This has been further tested this year in discussions by </w:t>
      </w:r>
      <w:r>
        <w:rPr>
          <w:rFonts w:ascii="Arial" w:hAnsi="Arial" w:cs="Arial"/>
          <w:sz w:val="23"/>
          <w:szCs w:val="23"/>
        </w:rPr>
        <w:t xml:space="preserve">executive members and </w:t>
      </w:r>
      <w:r w:rsidRPr="00C11CF2">
        <w:rPr>
          <w:rFonts w:ascii="Arial" w:hAnsi="Arial" w:cs="Arial"/>
          <w:sz w:val="23"/>
          <w:szCs w:val="23"/>
        </w:rPr>
        <w:t xml:space="preserve">union staff with members and branch </w:t>
      </w:r>
      <w:r>
        <w:rPr>
          <w:rFonts w:ascii="Arial" w:hAnsi="Arial" w:cs="Arial"/>
          <w:sz w:val="23"/>
          <w:szCs w:val="23"/>
        </w:rPr>
        <w:t xml:space="preserve">and regional </w:t>
      </w:r>
      <w:r w:rsidRPr="00C11CF2">
        <w:rPr>
          <w:rFonts w:ascii="Arial" w:hAnsi="Arial" w:cs="Arial"/>
          <w:sz w:val="23"/>
          <w:szCs w:val="23"/>
        </w:rPr>
        <w:t>officers</w:t>
      </w:r>
      <w:r>
        <w:rPr>
          <w:rFonts w:ascii="Arial" w:hAnsi="Arial" w:cs="Arial"/>
          <w:sz w:val="23"/>
          <w:szCs w:val="23"/>
        </w:rPr>
        <w:t>.</w:t>
      </w:r>
    </w:p>
    <w:p w:rsidR="00A27375" w:rsidRDefault="00A27375" w:rsidP="00A27375">
      <w:pPr>
        <w:pStyle w:val="PlainText"/>
        <w:ind w:left="1134" w:hanging="567"/>
        <w:jc w:val="both"/>
        <w:rPr>
          <w:rFonts w:ascii="Arial" w:hAnsi="Arial" w:cs="Arial"/>
          <w:sz w:val="23"/>
          <w:szCs w:val="23"/>
        </w:rPr>
      </w:pPr>
      <w:r>
        <w:rPr>
          <w:rFonts w:ascii="Arial" w:hAnsi="Arial" w:cs="Arial"/>
          <w:sz w:val="23"/>
          <w:szCs w:val="23"/>
        </w:rPr>
        <w:lastRenderedPageBreak/>
        <w:t>3.2</w:t>
      </w:r>
      <w:r>
        <w:rPr>
          <w:rFonts w:ascii="Arial" w:hAnsi="Arial" w:cs="Arial"/>
          <w:sz w:val="23"/>
          <w:szCs w:val="23"/>
        </w:rPr>
        <w:tab/>
      </w:r>
      <w:r w:rsidRPr="00C11CF2">
        <w:rPr>
          <w:rFonts w:ascii="Arial" w:hAnsi="Arial" w:cs="Arial"/>
          <w:sz w:val="23"/>
          <w:szCs w:val="23"/>
        </w:rPr>
        <w:t>At the J</w:t>
      </w:r>
      <w:r w:rsidR="004F059C">
        <w:rPr>
          <w:rFonts w:ascii="Arial" w:hAnsi="Arial" w:cs="Arial"/>
          <w:sz w:val="23"/>
          <w:szCs w:val="23"/>
        </w:rPr>
        <w:t>uly regional chairs’ forum</w:t>
      </w:r>
      <w:r w:rsidRPr="00C11CF2">
        <w:rPr>
          <w:rFonts w:ascii="Arial" w:hAnsi="Arial" w:cs="Arial"/>
          <w:sz w:val="23"/>
          <w:szCs w:val="23"/>
        </w:rPr>
        <w:t xml:space="preserve">, a workshop was run with all regional chairs </w:t>
      </w:r>
      <w:r>
        <w:rPr>
          <w:rFonts w:ascii="Arial" w:hAnsi="Arial" w:cs="Arial"/>
          <w:sz w:val="23"/>
          <w:szCs w:val="23"/>
        </w:rPr>
        <w:t xml:space="preserve">where a claim </w:t>
      </w:r>
      <w:r w:rsidRPr="00C11CF2">
        <w:rPr>
          <w:rFonts w:ascii="Arial" w:hAnsi="Arial" w:cs="Arial"/>
          <w:sz w:val="23"/>
          <w:szCs w:val="23"/>
        </w:rPr>
        <w:t>proposal</w:t>
      </w:r>
      <w:r>
        <w:rPr>
          <w:rFonts w:ascii="Arial" w:hAnsi="Arial" w:cs="Arial"/>
          <w:sz w:val="23"/>
          <w:szCs w:val="23"/>
        </w:rPr>
        <w:t>,</w:t>
      </w:r>
      <w:r w:rsidRPr="00C11CF2">
        <w:rPr>
          <w:rFonts w:ascii="Arial" w:hAnsi="Arial" w:cs="Arial"/>
          <w:sz w:val="23"/>
          <w:szCs w:val="23"/>
        </w:rPr>
        <w:t xml:space="preserve"> first suggested by the executive industrial committee in December last yea</w:t>
      </w:r>
      <w:r>
        <w:rPr>
          <w:rFonts w:ascii="Arial" w:hAnsi="Arial" w:cs="Arial"/>
          <w:sz w:val="23"/>
          <w:szCs w:val="23"/>
        </w:rPr>
        <w:t>r,</w:t>
      </w:r>
      <w:r w:rsidRPr="00C11CF2">
        <w:rPr>
          <w:rFonts w:ascii="Arial" w:hAnsi="Arial" w:cs="Arial"/>
          <w:sz w:val="23"/>
          <w:szCs w:val="23"/>
        </w:rPr>
        <w:t xml:space="preserve"> </w:t>
      </w:r>
      <w:r>
        <w:rPr>
          <w:rFonts w:ascii="Arial" w:hAnsi="Arial" w:cs="Arial"/>
          <w:sz w:val="23"/>
          <w:szCs w:val="23"/>
        </w:rPr>
        <w:t>was presented and discussed</w:t>
      </w:r>
      <w:r w:rsidRPr="00C11CF2">
        <w:rPr>
          <w:rFonts w:ascii="Arial" w:hAnsi="Arial" w:cs="Arial"/>
          <w:sz w:val="23"/>
          <w:szCs w:val="23"/>
        </w:rPr>
        <w:t xml:space="preserve">. This proposal clearly resonated strongly with regional chairs and </w:t>
      </w:r>
      <w:r>
        <w:rPr>
          <w:rFonts w:ascii="Arial" w:hAnsi="Arial" w:cs="Arial"/>
          <w:sz w:val="23"/>
          <w:szCs w:val="23"/>
        </w:rPr>
        <w:t xml:space="preserve">it </w:t>
      </w:r>
      <w:r w:rsidRPr="00C11CF2">
        <w:rPr>
          <w:rFonts w:ascii="Arial" w:hAnsi="Arial" w:cs="Arial"/>
          <w:sz w:val="23"/>
          <w:szCs w:val="23"/>
        </w:rPr>
        <w:t>has since been endorsed further by the July meeting of the executive industrial committee</w:t>
      </w:r>
      <w:r>
        <w:rPr>
          <w:rFonts w:ascii="Arial" w:hAnsi="Arial" w:cs="Arial"/>
          <w:sz w:val="23"/>
          <w:szCs w:val="23"/>
        </w:rPr>
        <w:t xml:space="preserve"> a</w:t>
      </w:r>
      <w:r w:rsidR="004F059C">
        <w:rPr>
          <w:rFonts w:ascii="Arial" w:hAnsi="Arial" w:cs="Arial"/>
          <w:sz w:val="23"/>
          <w:szCs w:val="23"/>
        </w:rPr>
        <w:t>nd the full executive at its August meeting</w:t>
      </w:r>
      <w:r w:rsidR="00B71440">
        <w:rPr>
          <w:rFonts w:ascii="Arial" w:hAnsi="Arial" w:cs="Arial"/>
          <w:sz w:val="23"/>
          <w:szCs w:val="23"/>
        </w:rPr>
        <w:t>.</w:t>
      </w:r>
    </w:p>
    <w:p w:rsidR="00A27375" w:rsidRPr="00EF4871" w:rsidRDefault="00A27375" w:rsidP="00EF4871">
      <w:pPr>
        <w:pStyle w:val="Heading1"/>
        <w:numPr>
          <w:ilvl w:val="0"/>
          <w:numId w:val="8"/>
        </w:numPr>
        <w:ind w:left="567" w:hanging="567"/>
        <w:rPr>
          <w:rFonts w:ascii="Arial Black" w:hAnsi="Arial Black"/>
          <w:color w:val="auto"/>
          <w:sz w:val="23"/>
          <w:szCs w:val="23"/>
        </w:rPr>
      </w:pPr>
      <w:bookmarkStart w:id="3" w:name="_Toc395179735"/>
      <w:r w:rsidRPr="00EF4871">
        <w:rPr>
          <w:rFonts w:ascii="Arial Black" w:hAnsi="Arial Black"/>
          <w:color w:val="auto"/>
          <w:sz w:val="23"/>
          <w:szCs w:val="23"/>
        </w:rPr>
        <w:t>The salary claim – how much is enough?</w:t>
      </w:r>
      <w:bookmarkEnd w:id="3"/>
    </w:p>
    <w:p w:rsidR="00A27375" w:rsidRPr="00B71440" w:rsidRDefault="00A27375" w:rsidP="00A27375">
      <w:pPr>
        <w:pStyle w:val="PlainText"/>
        <w:tabs>
          <w:tab w:val="left" w:pos="1134"/>
        </w:tabs>
        <w:jc w:val="both"/>
        <w:rPr>
          <w:rFonts w:ascii="Arial" w:hAnsi="Arial" w:cs="Arial"/>
          <w:sz w:val="23"/>
          <w:szCs w:val="23"/>
        </w:rPr>
      </w:pPr>
    </w:p>
    <w:p w:rsidR="00A27375" w:rsidRDefault="00A27375" w:rsidP="00A27375">
      <w:pPr>
        <w:pStyle w:val="PlainText"/>
        <w:tabs>
          <w:tab w:val="left" w:pos="1134"/>
        </w:tabs>
        <w:ind w:left="1134" w:hanging="567"/>
        <w:jc w:val="both"/>
        <w:rPr>
          <w:rFonts w:ascii="Arial" w:hAnsi="Arial" w:cs="Arial"/>
          <w:sz w:val="23"/>
          <w:szCs w:val="23"/>
        </w:rPr>
      </w:pPr>
      <w:r>
        <w:rPr>
          <w:rFonts w:ascii="Arial" w:hAnsi="Arial" w:cs="Arial"/>
          <w:sz w:val="23"/>
          <w:szCs w:val="23"/>
        </w:rPr>
        <w:t>4.1</w:t>
      </w:r>
      <w:r>
        <w:rPr>
          <w:rFonts w:ascii="Arial" w:hAnsi="Arial" w:cs="Arial"/>
          <w:sz w:val="23"/>
          <w:szCs w:val="23"/>
        </w:rPr>
        <w:tab/>
        <w:t xml:space="preserve">It is clear that recent salary movement has not kept up anywhere near inflation over the last five years. </w:t>
      </w:r>
      <w:r w:rsidR="00B71440">
        <w:rPr>
          <w:rFonts w:ascii="Arial" w:hAnsi="Arial" w:cs="Arial"/>
          <w:sz w:val="23"/>
          <w:szCs w:val="23"/>
        </w:rPr>
        <w:t xml:space="preserve"> </w:t>
      </w:r>
      <w:r>
        <w:rPr>
          <w:rFonts w:ascii="Arial" w:hAnsi="Arial" w:cs="Arial"/>
          <w:sz w:val="23"/>
          <w:szCs w:val="23"/>
        </w:rPr>
        <w:t>This is not surprising considering the recession, a strongly anti-union government, and the imperative to keep existing conditions in our collective agreements intact throughout its term, in the face of persistent claw back claims from the employer.</w:t>
      </w:r>
    </w:p>
    <w:p w:rsidR="00A27375" w:rsidRDefault="00A27375" w:rsidP="00A27375">
      <w:pPr>
        <w:pStyle w:val="PlainText"/>
        <w:tabs>
          <w:tab w:val="left" w:pos="1134"/>
        </w:tabs>
        <w:ind w:left="1134" w:hanging="567"/>
        <w:jc w:val="both"/>
        <w:rPr>
          <w:rFonts w:ascii="Arial" w:hAnsi="Arial" w:cs="Arial"/>
          <w:sz w:val="23"/>
          <w:szCs w:val="23"/>
        </w:rPr>
      </w:pPr>
    </w:p>
    <w:p w:rsidR="00A27375" w:rsidRDefault="00A27375" w:rsidP="00A27375">
      <w:pPr>
        <w:pStyle w:val="PlainText"/>
        <w:tabs>
          <w:tab w:val="left" w:pos="1134"/>
        </w:tabs>
        <w:ind w:left="1134" w:hanging="567"/>
        <w:jc w:val="both"/>
        <w:rPr>
          <w:rFonts w:ascii="Arial" w:hAnsi="Arial" w:cs="Arial"/>
          <w:sz w:val="23"/>
          <w:szCs w:val="23"/>
        </w:rPr>
      </w:pPr>
      <w:r>
        <w:rPr>
          <w:rFonts w:ascii="Arial" w:hAnsi="Arial" w:cs="Arial"/>
          <w:sz w:val="23"/>
          <w:szCs w:val="23"/>
        </w:rPr>
        <w:t>4.2</w:t>
      </w:r>
      <w:r>
        <w:rPr>
          <w:rFonts w:ascii="Arial" w:hAnsi="Arial" w:cs="Arial"/>
          <w:sz w:val="23"/>
          <w:szCs w:val="23"/>
        </w:rPr>
        <w:tab/>
        <w:t>However, we are now out of recession, and members are rightly expecting that their salaries should now be comparable to those that teachers in other countries receive and that are commensurate with their worth.</w:t>
      </w:r>
    </w:p>
    <w:p w:rsidR="00A27375" w:rsidRDefault="00A27375" w:rsidP="00A27375">
      <w:pPr>
        <w:pStyle w:val="PlainText"/>
        <w:tabs>
          <w:tab w:val="left" w:pos="1134"/>
        </w:tabs>
        <w:ind w:left="1134" w:hanging="567"/>
        <w:jc w:val="both"/>
        <w:rPr>
          <w:rFonts w:ascii="Arial" w:hAnsi="Arial" w:cs="Arial"/>
          <w:sz w:val="23"/>
          <w:szCs w:val="23"/>
        </w:rPr>
      </w:pPr>
    </w:p>
    <w:p w:rsidR="00A27375" w:rsidRPr="00224F1F" w:rsidRDefault="00A27375" w:rsidP="00A27375">
      <w:pPr>
        <w:pStyle w:val="NoSpacing"/>
        <w:ind w:left="1134" w:hanging="567"/>
        <w:jc w:val="both"/>
        <w:rPr>
          <w:sz w:val="23"/>
          <w:szCs w:val="23"/>
        </w:rPr>
      </w:pPr>
      <w:r w:rsidRPr="00224F1F">
        <w:rPr>
          <w:sz w:val="23"/>
          <w:szCs w:val="23"/>
        </w:rPr>
        <w:t>4.3</w:t>
      </w:r>
      <w:r w:rsidRPr="00224F1F">
        <w:rPr>
          <w:sz w:val="23"/>
          <w:szCs w:val="23"/>
        </w:rPr>
        <w:tab/>
        <w:t xml:space="preserve">Since the last 4% increase in July 2009, increases to the STCA have fallen well below inflation. </w:t>
      </w:r>
      <w:r w:rsidR="00B71440">
        <w:rPr>
          <w:sz w:val="23"/>
          <w:szCs w:val="23"/>
        </w:rPr>
        <w:t xml:space="preserve"> </w:t>
      </w:r>
      <w:r w:rsidRPr="00224F1F">
        <w:rPr>
          <w:sz w:val="23"/>
          <w:szCs w:val="23"/>
        </w:rPr>
        <w:t>The chart below tracks increases to inflation (as per CPI) up to Dec</w:t>
      </w:r>
      <w:r w:rsidR="00735630">
        <w:rPr>
          <w:sz w:val="23"/>
          <w:szCs w:val="23"/>
        </w:rPr>
        <w:t>ember</w:t>
      </w:r>
      <w:r w:rsidRPr="00224F1F">
        <w:rPr>
          <w:sz w:val="23"/>
          <w:szCs w:val="23"/>
        </w:rPr>
        <w:t xml:space="preserve"> 2012 seen alongside our STCA increases</w:t>
      </w:r>
      <w:r w:rsidR="00735630">
        <w:rPr>
          <w:sz w:val="23"/>
          <w:szCs w:val="23"/>
        </w:rPr>
        <w:t>,</w:t>
      </w:r>
      <w:r w:rsidRPr="00224F1F">
        <w:rPr>
          <w:sz w:val="23"/>
          <w:szCs w:val="23"/>
        </w:rPr>
        <w:t xml:space="preserve"> and also provides the current projected increases for the 2014 year and the years between 2015 and 2018 (maximum period of settlement of the 2015 STCA)</w:t>
      </w:r>
      <w:r>
        <w:rPr>
          <w:sz w:val="23"/>
          <w:szCs w:val="23"/>
        </w:rPr>
        <w:t>.</w:t>
      </w:r>
    </w:p>
    <w:p w:rsidR="00A27375" w:rsidRPr="00715BE6" w:rsidRDefault="00A27375" w:rsidP="00A27375">
      <w:pPr>
        <w:pStyle w:val="NoSpacing"/>
        <w:ind w:left="1134" w:hanging="567"/>
        <w:rPr>
          <w:sz w:val="23"/>
          <w:szCs w:val="23"/>
          <w:highlight w:val="yellow"/>
        </w:rPr>
      </w:pPr>
    </w:p>
    <w:tbl>
      <w:tblPr>
        <w:tblStyle w:val="TableGrid"/>
        <w:tblW w:w="8944" w:type="dxa"/>
        <w:tblInd w:w="534" w:type="dxa"/>
        <w:tblLook w:val="04A0" w:firstRow="1" w:lastRow="0" w:firstColumn="1" w:lastColumn="0" w:noHBand="0" w:noVBand="1"/>
      </w:tblPr>
      <w:tblGrid>
        <w:gridCol w:w="800"/>
        <w:gridCol w:w="2350"/>
        <w:gridCol w:w="1196"/>
        <w:gridCol w:w="4598"/>
      </w:tblGrid>
      <w:tr w:rsidR="0056138A" w:rsidRPr="00224F1F" w:rsidTr="00ED7B8E">
        <w:tc>
          <w:tcPr>
            <w:tcW w:w="800" w:type="dxa"/>
          </w:tcPr>
          <w:p w:rsidR="0056138A" w:rsidRPr="00224F1F" w:rsidRDefault="0056138A" w:rsidP="003F09BC">
            <w:pPr>
              <w:pStyle w:val="NoSpacing"/>
              <w:rPr>
                <w:b/>
                <w:sz w:val="23"/>
                <w:szCs w:val="23"/>
              </w:rPr>
            </w:pPr>
            <w:r>
              <w:rPr>
                <w:b/>
                <w:sz w:val="23"/>
                <w:szCs w:val="23"/>
              </w:rPr>
              <w:t>Year</w:t>
            </w:r>
          </w:p>
        </w:tc>
        <w:tc>
          <w:tcPr>
            <w:tcW w:w="2350" w:type="dxa"/>
          </w:tcPr>
          <w:p w:rsidR="0056138A" w:rsidRDefault="0056138A" w:rsidP="003F09BC">
            <w:pPr>
              <w:pStyle w:val="NoSpacing"/>
              <w:jc w:val="center"/>
              <w:rPr>
                <w:b/>
                <w:sz w:val="23"/>
                <w:szCs w:val="23"/>
              </w:rPr>
            </w:pPr>
            <w:r w:rsidRPr="00224F1F">
              <w:rPr>
                <w:b/>
                <w:sz w:val="23"/>
                <w:szCs w:val="23"/>
              </w:rPr>
              <w:t>CPI</w:t>
            </w:r>
          </w:p>
          <w:p w:rsidR="0056138A" w:rsidRPr="00224F1F" w:rsidRDefault="0056138A" w:rsidP="00ED7B8E">
            <w:pPr>
              <w:pStyle w:val="NoSpacing"/>
              <w:jc w:val="center"/>
              <w:rPr>
                <w:b/>
                <w:sz w:val="23"/>
                <w:szCs w:val="23"/>
              </w:rPr>
            </w:pPr>
            <w:r w:rsidRPr="007A13B8">
              <w:rPr>
                <w:b/>
                <w:i/>
                <w:sz w:val="23"/>
                <w:szCs w:val="23"/>
              </w:rPr>
              <w:t>March year</w:t>
            </w:r>
            <w:r>
              <w:rPr>
                <w:b/>
                <w:sz w:val="23"/>
                <w:szCs w:val="23"/>
              </w:rPr>
              <w:t xml:space="preserve"> </w:t>
            </w:r>
            <w:r w:rsidR="00ED7B8E">
              <w:rPr>
                <w:b/>
                <w:sz w:val="23"/>
                <w:szCs w:val="23"/>
              </w:rPr>
              <w:t>C</w:t>
            </w:r>
            <w:r w:rsidRPr="007A13B8">
              <w:rPr>
                <w:b/>
                <w:i/>
                <w:sz w:val="23"/>
                <w:szCs w:val="23"/>
              </w:rPr>
              <w:t>hange</w:t>
            </w:r>
          </w:p>
        </w:tc>
        <w:tc>
          <w:tcPr>
            <w:tcW w:w="5794" w:type="dxa"/>
            <w:gridSpan w:val="2"/>
          </w:tcPr>
          <w:p w:rsidR="0056138A" w:rsidRPr="00224F1F" w:rsidRDefault="0056138A" w:rsidP="003F09BC">
            <w:pPr>
              <w:pStyle w:val="NoSpacing"/>
              <w:jc w:val="center"/>
              <w:rPr>
                <w:b/>
                <w:sz w:val="23"/>
                <w:szCs w:val="23"/>
              </w:rPr>
            </w:pPr>
            <w:r w:rsidRPr="00224F1F">
              <w:rPr>
                <w:b/>
                <w:sz w:val="23"/>
                <w:szCs w:val="23"/>
              </w:rPr>
              <w:t>STCA salary increase</w:t>
            </w:r>
          </w:p>
        </w:tc>
      </w:tr>
      <w:tr w:rsidR="0056138A" w:rsidRPr="00224F1F" w:rsidTr="00ED7B8E">
        <w:tc>
          <w:tcPr>
            <w:tcW w:w="800" w:type="dxa"/>
          </w:tcPr>
          <w:p w:rsidR="0056138A" w:rsidRPr="00224F1F" w:rsidRDefault="0056138A" w:rsidP="003F09BC">
            <w:pPr>
              <w:pStyle w:val="NoSpacing"/>
              <w:rPr>
                <w:sz w:val="23"/>
                <w:szCs w:val="23"/>
              </w:rPr>
            </w:pPr>
            <w:r w:rsidRPr="00224F1F">
              <w:rPr>
                <w:sz w:val="23"/>
                <w:szCs w:val="23"/>
              </w:rPr>
              <w:t>2009</w:t>
            </w:r>
          </w:p>
        </w:tc>
        <w:tc>
          <w:tcPr>
            <w:tcW w:w="2350" w:type="dxa"/>
          </w:tcPr>
          <w:p w:rsidR="0056138A" w:rsidRPr="00224F1F" w:rsidRDefault="0056138A" w:rsidP="0056138A">
            <w:pPr>
              <w:pStyle w:val="NoSpacing"/>
              <w:tabs>
                <w:tab w:val="decimal" w:pos="884"/>
              </w:tabs>
              <w:rPr>
                <w:sz w:val="23"/>
                <w:szCs w:val="23"/>
              </w:rPr>
            </w:pPr>
            <w:r w:rsidRPr="00224F1F">
              <w:rPr>
                <w:sz w:val="23"/>
                <w:szCs w:val="23"/>
              </w:rPr>
              <w:t>3.</w:t>
            </w:r>
            <w:r>
              <w:rPr>
                <w:sz w:val="23"/>
                <w:szCs w:val="23"/>
              </w:rPr>
              <w:t>0</w:t>
            </w:r>
            <w:r w:rsidRPr="00224F1F">
              <w:rPr>
                <w:sz w:val="23"/>
                <w:szCs w:val="23"/>
              </w:rPr>
              <w:t>%</w:t>
            </w:r>
          </w:p>
        </w:tc>
        <w:tc>
          <w:tcPr>
            <w:tcW w:w="1196" w:type="dxa"/>
            <w:tcBorders>
              <w:right w:val="nil"/>
            </w:tcBorders>
          </w:tcPr>
          <w:p w:rsidR="0056138A" w:rsidRPr="00224F1F" w:rsidRDefault="0056138A" w:rsidP="0056138A">
            <w:pPr>
              <w:pStyle w:val="NoSpacing"/>
              <w:tabs>
                <w:tab w:val="left" w:pos="864"/>
              </w:tabs>
              <w:rPr>
                <w:sz w:val="23"/>
                <w:szCs w:val="23"/>
              </w:rPr>
            </w:pPr>
            <w:r>
              <w:rPr>
                <w:sz w:val="23"/>
                <w:szCs w:val="23"/>
              </w:rPr>
              <w:t>4.0%</w:t>
            </w:r>
          </w:p>
        </w:tc>
        <w:tc>
          <w:tcPr>
            <w:tcW w:w="4598" w:type="dxa"/>
            <w:tcBorders>
              <w:left w:val="nil"/>
            </w:tcBorders>
          </w:tcPr>
          <w:p w:rsidR="0056138A" w:rsidRDefault="0056138A" w:rsidP="0056138A">
            <w:pPr>
              <w:pStyle w:val="NoSpacing"/>
              <w:tabs>
                <w:tab w:val="left" w:pos="864"/>
              </w:tabs>
              <w:rPr>
                <w:sz w:val="23"/>
                <w:szCs w:val="23"/>
              </w:rPr>
            </w:pPr>
            <w:r w:rsidRPr="00224F1F">
              <w:rPr>
                <w:sz w:val="23"/>
                <w:szCs w:val="23"/>
              </w:rPr>
              <w:t>from 1 July 2009</w:t>
            </w:r>
          </w:p>
        </w:tc>
      </w:tr>
      <w:tr w:rsidR="0056138A" w:rsidRPr="00224F1F" w:rsidTr="00ED7B8E">
        <w:tc>
          <w:tcPr>
            <w:tcW w:w="800" w:type="dxa"/>
          </w:tcPr>
          <w:p w:rsidR="0056138A" w:rsidRPr="00224F1F" w:rsidRDefault="0056138A" w:rsidP="003F09BC">
            <w:pPr>
              <w:pStyle w:val="NoSpacing"/>
              <w:rPr>
                <w:sz w:val="23"/>
                <w:szCs w:val="23"/>
              </w:rPr>
            </w:pPr>
            <w:r w:rsidRPr="00224F1F">
              <w:rPr>
                <w:sz w:val="23"/>
                <w:szCs w:val="23"/>
              </w:rPr>
              <w:t>2010</w:t>
            </w:r>
          </w:p>
        </w:tc>
        <w:tc>
          <w:tcPr>
            <w:tcW w:w="2350" w:type="dxa"/>
          </w:tcPr>
          <w:p w:rsidR="0056138A" w:rsidRPr="00224F1F" w:rsidRDefault="0056138A" w:rsidP="0056138A">
            <w:pPr>
              <w:pStyle w:val="NoSpacing"/>
              <w:tabs>
                <w:tab w:val="decimal" w:pos="884"/>
              </w:tabs>
              <w:rPr>
                <w:sz w:val="23"/>
                <w:szCs w:val="23"/>
              </w:rPr>
            </w:pPr>
            <w:r w:rsidRPr="00224F1F">
              <w:rPr>
                <w:sz w:val="23"/>
                <w:szCs w:val="23"/>
              </w:rPr>
              <w:t>2.0%</w:t>
            </w:r>
          </w:p>
        </w:tc>
        <w:tc>
          <w:tcPr>
            <w:tcW w:w="1196" w:type="dxa"/>
            <w:tcBorders>
              <w:right w:val="nil"/>
            </w:tcBorders>
          </w:tcPr>
          <w:p w:rsidR="0056138A" w:rsidRPr="00224F1F" w:rsidRDefault="0056138A" w:rsidP="0056138A">
            <w:pPr>
              <w:pStyle w:val="NoSpacing"/>
              <w:tabs>
                <w:tab w:val="left" w:pos="175"/>
              </w:tabs>
              <w:ind w:left="884" w:hanging="884"/>
              <w:rPr>
                <w:sz w:val="23"/>
                <w:szCs w:val="23"/>
              </w:rPr>
            </w:pPr>
            <w:r>
              <w:rPr>
                <w:sz w:val="23"/>
                <w:szCs w:val="23"/>
              </w:rPr>
              <w:t>Nil</w:t>
            </w:r>
          </w:p>
        </w:tc>
        <w:tc>
          <w:tcPr>
            <w:tcW w:w="4598" w:type="dxa"/>
            <w:tcBorders>
              <w:left w:val="nil"/>
            </w:tcBorders>
          </w:tcPr>
          <w:p w:rsidR="0056138A" w:rsidRPr="00224F1F" w:rsidRDefault="0056138A" w:rsidP="00D903D7">
            <w:pPr>
              <w:pStyle w:val="NoSpacing"/>
              <w:tabs>
                <w:tab w:val="left" w:pos="175"/>
              </w:tabs>
              <w:ind w:left="884" w:hanging="884"/>
              <w:rPr>
                <w:sz w:val="23"/>
                <w:szCs w:val="23"/>
              </w:rPr>
            </w:pPr>
            <w:r w:rsidRPr="00224F1F">
              <w:rPr>
                <w:sz w:val="23"/>
                <w:szCs w:val="23"/>
              </w:rPr>
              <w:t>protracted bargaining, CA unsettled</w:t>
            </w:r>
          </w:p>
        </w:tc>
      </w:tr>
      <w:tr w:rsidR="0056138A" w:rsidRPr="00224F1F" w:rsidTr="00ED7B8E">
        <w:tc>
          <w:tcPr>
            <w:tcW w:w="800" w:type="dxa"/>
          </w:tcPr>
          <w:p w:rsidR="0056138A" w:rsidRPr="00224F1F" w:rsidRDefault="0056138A" w:rsidP="003F09BC">
            <w:pPr>
              <w:pStyle w:val="NoSpacing"/>
              <w:rPr>
                <w:sz w:val="23"/>
                <w:szCs w:val="23"/>
              </w:rPr>
            </w:pPr>
            <w:r w:rsidRPr="00224F1F">
              <w:rPr>
                <w:sz w:val="23"/>
                <w:szCs w:val="23"/>
              </w:rPr>
              <w:t>2011</w:t>
            </w:r>
          </w:p>
        </w:tc>
        <w:tc>
          <w:tcPr>
            <w:tcW w:w="2350" w:type="dxa"/>
          </w:tcPr>
          <w:p w:rsidR="0056138A" w:rsidRPr="00224F1F" w:rsidRDefault="0056138A" w:rsidP="0056138A">
            <w:pPr>
              <w:pStyle w:val="NoSpacing"/>
              <w:tabs>
                <w:tab w:val="decimal" w:pos="884"/>
              </w:tabs>
              <w:rPr>
                <w:sz w:val="23"/>
                <w:szCs w:val="23"/>
              </w:rPr>
            </w:pPr>
            <w:r w:rsidRPr="00224F1F">
              <w:rPr>
                <w:sz w:val="23"/>
                <w:szCs w:val="23"/>
              </w:rPr>
              <w:t>4.</w:t>
            </w:r>
            <w:r>
              <w:rPr>
                <w:sz w:val="23"/>
                <w:szCs w:val="23"/>
              </w:rPr>
              <w:t>5</w:t>
            </w:r>
            <w:r w:rsidRPr="00224F1F">
              <w:rPr>
                <w:sz w:val="23"/>
                <w:szCs w:val="23"/>
              </w:rPr>
              <w:t>%</w:t>
            </w:r>
          </w:p>
        </w:tc>
        <w:tc>
          <w:tcPr>
            <w:tcW w:w="1196" w:type="dxa"/>
            <w:tcBorders>
              <w:right w:val="nil"/>
            </w:tcBorders>
          </w:tcPr>
          <w:p w:rsidR="0056138A" w:rsidRPr="00224F1F" w:rsidRDefault="0056138A" w:rsidP="00B71440">
            <w:pPr>
              <w:pStyle w:val="NoSpacing"/>
              <w:tabs>
                <w:tab w:val="left" w:pos="175"/>
                <w:tab w:val="left" w:pos="864"/>
              </w:tabs>
              <w:ind w:left="884" w:hanging="884"/>
              <w:rPr>
                <w:sz w:val="23"/>
                <w:szCs w:val="23"/>
              </w:rPr>
            </w:pPr>
            <w:r w:rsidRPr="00224F1F">
              <w:rPr>
                <w:sz w:val="23"/>
                <w:szCs w:val="23"/>
              </w:rPr>
              <w:t>1-3%</w:t>
            </w:r>
          </w:p>
        </w:tc>
        <w:tc>
          <w:tcPr>
            <w:tcW w:w="4598" w:type="dxa"/>
            <w:tcBorders>
              <w:left w:val="nil"/>
            </w:tcBorders>
          </w:tcPr>
          <w:p w:rsidR="0056138A" w:rsidRPr="00224F1F" w:rsidRDefault="0056138A" w:rsidP="0056138A">
            <w:pPr>
              <w:pStyle w:val="NoSpacing"/>
              <w:tabs>
                <w:tab w:val="left" w:pos="175"/>
              </w:tabs>
              <w:ind w:left="34" w:hanging="34"/>
              <w:rPr>
                <w:sz w:val="23"/>
                <w:szCs w:val="23"/>
              </w:rPr>
            </w:pPr>
            <w:r>
              <w:rPr>
                <w:sz w:val="23"/>
                <w:szCs w:val="23"/>
              </w:rPr>
              <w:t xml:space="preserve">from 13 April 2011 (with </w:t>
            </w:r>
            <w:r w:rsidRPr="00224F1F">
              <w:rPr>
                <w:sz w:val="23"/>
                <w:szCs w:val="23"/>
              </w:rPr>
              <w:t>translation to</w:t>
            </w:r>
            <w:r>
              <w:rPr>
                <w:sz w:val="23"/>
                <w:szCs w:val="23"/>
              </w:rPr>
              <w:t xml:space="preserve"> new </w:t>
            </w:r>
            <w:r w:rsidRPr="00224F1F">
              <w:rPr>
                <w:sz w:val="23"/>
                <w:szCs w:val="23"/>
              </w:rPr>
              <w:t>scale –  trained rates only)</w:t>
            </w:r>
          </w:p>
          <w:p w:rsidR="0056138A" w:rsidRPr="00224F1F" w:rsidRDefault="0056138A" w:rsidP="0056138A">
            <w:pPr>
              <w:pStyle w:val="NoSpacing"/>
              <w:tabs>
                <w:tab w:val="left" w:pos="175"/>
                <w:tab w:val="left" w:pos="864"/>
              </w:tabs>
              <w:ind w:left="884" w:hanging="884"/>
              <w:rPr>
                <w:sz w:val="23"/>
                <w:szCs w:val="23"/>
              </w:rPr>
            </w:pPr>
            <w:r>
              <w:rPr>
                <w:sz w:val="23"/>
                <w:szCs w:val="23"/>
              </w:rPr>
              <w:t xml:space="preserve">Nil </w:t>
            </w:r>
            <w:r w:rsidRPr="00224F1F">
              <w:rPr>
                <w:sz w:val="23"/>
                <w:szCs w:val="23"/>
              </w:rPr>
              <w:t>for untrained teachers</w:t>
            </w:r>
          </w:p>
        </w:tc>
      </w:tr>
      <w:tr w:rsidR="0056138A" w:rsidRPr="00224F1F" w:rsidTr="00ED7B8E">
        <w:tc>
          <w:tcPr>
            <w:tcW w:w="800" w:type="dxa"/>
          </w:tcPr>
          <w:p w:rsidR="0056138A" w:rsidRPr="00224F1F" w:rsidRDefault="0056138A" w:rsidP="003F09BC">
            <w:pPr>
              <w:pStyle w:val="NoSpacing"/>
              <w:rPr>
                <w:sz w:val="23"/>
                <w:szCs w:val="23"/>
              </w:rPr>
            </w:pPr>
            <w:r w:rsidRPr="00224F1F">
              <w:rPr>
                <w:sz w:val="23"/>
                <w:szCs w:val="23"/>
              </w:rPr>
              <w:t>2012</w:t>
            </w:r>
          </w:p>
        </w:tc>
        <w:tc>
          <w:tcPr>
            <w:tcW w:w="2350" w:type="dxa"/>
          </w:tcPr>
          <w:p w:rsidR="0056138A" w:rsidRPr="00224F1F" w:rsidRDefault="0056138A" w:rsidP="0056138A">
            <w:pPr>
              <w:pStyle w:val="NoSpacing"/>
              <w:tabs>
                <w:tab w:val="decimal" w:pos="884"/>
              </w:tabs>
              <w:rPr>
                <w:sz w:val="23"/>
                <w:szCs w:val="23"/>
              </w:rPr>
            </w:pPr>
            <w:r>
              <w:rPr>
                <w:sz w:val="23"/>
                <w:szCs w:val="23"/>
              </w:rPr>
              <w:t>1.6</w:t>
            </w:r>
            <w:r w:rsidRPr="00224F1F">
              <w:rPr>
                <w:sz w:val="23"/>
                <w:szCs w:val="23"/>
              </w:rPr>
              <w:t>%</w:t>
            </w:r>
          </w:p>
        </w:tc>
        <w:tc>
          <w:tcPr>
            <w:tcW w:w="1196" w:type="dxa"/>
            <w:tcBorders>
              <w:right w:val="nil"/>
            </w:tcBorders>
          </w:tcPr>
          <w:p w:rsidR="0056138A" w:rsidRPr="00224F1F" w:rsidRDefault="00B71440" w:rsidP="0056138A">
            <w:pPr>
              <w:pStyle w:val="NoSpacing"/>
              <w:tabs>
                <w:tab w:val="left" w:pos="175"/>
                <w:tab w:val="left" w:pos="864"/>
              </w:tabs>
              <w:rPr>
                <w:sz w:val="23"/>
                <w:szCs w:val="23"/>
              </w:rPr>
            </w:pPr>
            <w:r>
              <w:rPr>
                <w:sz w:val="23"/>
                <w:szCs w:val="23"/>
              </w:rPr>
              <w:t>Nil</w:t>
            </w:r>
          </w:p>
        </w:tc>
        <w:tc>
          <w:tcPr>
            <w:tcW w:w="4598" w:type="dxa"/>
            <w:tcBorders>
              <w:left w:val="nil"/>
            </w:tcBorders>
          </w:tcPr>
          <w:p w:rsidR="0056138A" w:rsidRPr="00224F1F" w:rsidRDefault="0056138A" w:rsidP="0056138A">
            <w:pPr>
              <w:pStyle w:val="NoSpacing"/>
              <w:tabs>
                <w:tab w:val="left" w:pos="175"/>
                <w:tab w:val="left" w:pos="864"/>
              </w:tabs>
              <w:rPr>
                <w:sz w:val="23"/>
                <w:szCs w:val="23"/>
              </w:rPr>
            </w:pPr>
          </w:p>
        </w:tc>
      </w:tr>
      <w:tr w:rsidR="0056138A" w:rsidRPr="00224F1F" w:rsidTr="00ED7B8E">
        <w:tc>
          <w:tcPr>
            <w:tcW w:w="800" w:type="dxa"/>
          </w:tcPr>
          <w:p w:rsidR="0056138A" w:rsidRPr="00224F1F" w:rsidRDefault="0056138A" w:rsidP="003F09BC">
            <w:pPr>
              <w:pStyle w:val="NoSpacing"/>
              <w:rPr>
                <w:sz w:val="23"/>
                <w:szCs w:val="23"/>
              </w:rPr>
            </w:pPr>
            <w:r w:rsidRPr="00224F1F">
              <w:rPr>
                <w:sz w:val="23"/>
                <w:szCs w:val="23"/>
              </w:rPr>
              <w:t>2013</w:t>
            </w:r>
          </w:p>
        </w:tc>
        <w:tc>
          <w:tcPr>
            <w:tcW w:w="2350" w:type="dxa"/>
          </w:tcPr>
          <w:p w:rsidR="0056138A" w:rsidRPr="00224F1F" w:rsidRDefault="0056138A" w:rsidP="0056138A">
            <w:pPr>
              <w:pStyle w:val="NoSpacing"/>
              <w:tabs>
                <w:tab w:val="decimal" w:pos="884"/>
              </w:tabs>
              <w:rPr>
                <w:sz w:val="23"/>
                <w:szCs w:val="23"/>
              </w:rPr>
            </w:pPr>
            <w:r>
              <w:rPr>
                <w:sz w:val="23"/>
                <w:szCs w:val="23"/>
              </w:rPr>
              <w:t>0.9</w:t>
            </w:r>
            <w:r w:rsidRPr="00224F1F">
              <w:rPr>
                <w:sz w:val="23"/>
                <w:szCs w:val="23"/>
              </w:rPr>
              <w:t>%</w:t>
            </w:r>
          </w:p>
        </w:tc>
        <w:tc>
          <w:tcPr>
            <w:tcW w:w="1196" w:type="dxa"/>
            <w:tcBorders>
              <w:right w:val="nil"/>
            </w:tcBorders>
          </w:tcPr>
          <w:p w:rsidR="0056138A" w:rsidRPr="00224F1F" w:rsidRDefault="0056138A" w:rsidP="00B71440">
            <w:pPr>
              <w:pStyle w:val="NoSpacing"/>
              <w:tabs>
                <w:tab w:val="left" w:pos="175"/>
                <w:tab w:val="left" w:pos="864"/>
              </w:tabs>
              <w:rPr>
                <w:sz w:val="23"/>
                <w:szCs w:val="23"/>
              </w:rPr>
            </w:pPr>
            <w:r w:rsidRPr="00224F1F">
              <w:rPr>
                <w:sz w:val="23"/>
                <w:szCs w:val="23"/>
              </w:rPr>
              <w:t>1.14%</w:t>
            </w:r>
          </w:p>
        </w:tc>
        <w:tc>
          <w:tcPr>
            <w:tcW w:w="4598" w:type="dxa"/>
            <w:tcBorders>
              <w:left w:val="nil"/>
            </w:tcBorders>
          </w:tcPr>
          <w:p w:rsidR="0056138A" w:rsidRPr="00224F1F" w:rsidRDefault="0056138A" w:rsidP="0056138A">
            <w:pPr>
              <w:pStyle w:val="NoSpacing"/>
              <w:tabs>
                <w:tab w:val="left" w:pos="175"/>
                <w:tab w:val="left" w:pos="864"/>
              </w:tabs>
              <w:rPr>
                <w:sz w:val="23"/>
                <w:szCs w:val="23"/>
              </w:rPr>
            </w:pPr>
            <w:r w:rsidRPr="00224F1F">
              <w:rPr>
                <w:sz w:val="23"/>
                <w:szCs w:val="23"/>
              </w:rPr>
              <w:t>from 23 Jan 2013</w:t>
            </w:r>
          </w:p>
        </w:tc>
      </w:tr>
      <w:tr w:rsidR="0056138A" w:rsidRPr="00224F1F" w:rsidTr="00ED7B8E">
        <w:tc>
          <w:tcPr>
            <w:tcW w:w="800" w:type="dxa"/>
          </w:tcPr>
          <w:p w:rsidR="0056138A" w:rsidRPr="00224F1F" w:rsidRDefault="0056138A" w:rsidP="003F09BC">
            <w:pPr>
              <w:pStyle w:val="NoSpacing"/>
              <w:rPr>
                <w:sz w:val="23"/>
                <w:szCs w:val="23"/>
              </w:rPr>
            </w:pPr>
            <w:r w:rsidRPr="00224F1F">
              <w:rPr>
                <w:sz w:val="23"/>
                <w:szCs w:val="23"/>
              </w:rPr>
              <w:t>2014</w:t>
            </w:r>
          </w:p>
        </w:tc>
        <w:tc>
          <w:tcPr>
            <w:tcW w:w="2350" w:type="dxa"/>
          </w:tcPr>
          <w:p w:rsidR="0056138A" w:rsidRPr="00224F1F" w:rsidRDefault="0056138A" w:rsidP="0056138A">
            <w:pPr>
              <w:pStyle w:val="NoSpacing"/>
              <w:tabs>
                <w:tab w:val="decimal" w:pos="884"/>
              </w:tabs>
              <w:rPr>
                <w:sz w:val="23"/>
                <w:szCs w:val="23"/>
              </w:rPr>
            </w:pPr>
            <w:r w:rsidRPr="00224F1F">
              <w:rPr>
                <w:sz w:val="23"/>
                <w:szCs w:val="23"/>
              </w:rPr>
              <w:t>1.5%</w:t>
            </w:r>
          </w:p>
        </w:tc>
        <w:tc>
          <w:tcPr>
            <w:tcW w:w="1196" w:type="dxa"/>
            <w:tcBorders>
              <w:right w:val="nil"/>
            </w:tcBorders>
          </w:tcPr>
          <w:p w:rsidR="0056138A" w:rsidRPr="00224F1F" w:rsidRDefault="0056138A" w:rsidP="0056138A">
            <w:pPr>
              <w:pStyle w:val="NoSpacing"/>
              <w:tabs>
                <w:tab w:val="left" w:pos="175"/>
                <w:tab w:val="left" w:pos="864"/>
              </w:tabs>
              <w:rPr>
                <w:sz w:val="23"/>
                <w:szCs w:val="23"/>
              </w:rPr>
            </w:pPr>
            <w:r>
              <w:rPr>
                <w:sz w:val="23"/>
                <w:szCs w:val="23"/>
              </w:rPr>
              <w:t>1.0%</w:t>
            </w:r>
          </w:p>
        </w:tc>
        <w:tc>
          <w:tcPr>
            <w:tcW w:w="4598" w:type="dxa"/>
            <w:tcBorders>
              <w:left w:val="nil"/>
            </w:tcBorders>
          </w:tcPr>
          <w:p w:rsidR="0056138A" w:rsidRPr="00224F1F" w:rsidRDefault="0056138A" w:rsidP="0056138A">
            <w:pPr>
              <w:pStyle w:val="NoSpacing"/>
              <w:tabs>
                <w:tab w:val="left" w:pos="175"/>
                <w:tab w:val="left" w:pos="864"/>
              </w:tabs>
              <w:rPr>
                <w:sz w:val="23"/>
                <w:szCs w:val="23"/>
              </w:rPr>
            </w:pPr>
            <w:r w:rsidRPr="00224F1F">
              <w:rPr>
                <w:sz w:val="23"/>
                <w:szCs w:val="23"/>
              </w:rPr>
              <w:t>from 28 Jan 2014</w:t>
            </w:r>
          </w:p>
        </w:tc>
      </w:tr>
      <w:tr w:rsidR="0056138A" w:rsidRPr="00224F1F" w:rsidTr="00ED7B8E">
        <w:tc>
          <w:tcPr>
            <w:tcW w:w="800" w:type="dxa"/>
          </w:tcPr>
          <w:p w:rsidR="0056138A" w:rsidRPr="00224F1F" w:rsidRDefault="0056138A" w:rsidP="003F09BC">
            <w:pPr>
              <w:pStyle w:val="NoSpacing"/>
              <w:rPr>
                <w:sz w:val="23"/>
                <w:szCs w:val="23"/>
              </w:rPr>
            </w:pPr>
            <w:r w:rsidRPr="00224F1F">
              <w:rPr>
                <w:sz w:val="23"/>
                <w:szCs w:val="23"/>
              </w:rPr>
              <w:t>2015</w:t>
            </w:r>
          </w:p>
        </w:tc>
        <w:tc>
          <w:tcPr>
            <w:tcW w:w="2350" w:type="dxa"/>
          </w:tcPr>
          <w:p w:rsidR="0056138A" w:rsidRDefault="0056138A" w:rsidP="0056138A">
            <w:pPr>
              <w:pStyle w:val="NoSpacing"/>
              <w:tabs>
                <w:tab w:val="decimal" w:pos="884"/>
              </w:tabs>
              <w:rPr>
                <w:sz w:val="23"/>
                <w:szCs w:val="23"/>
              </w:rPr>
            </w:pPr>
            <w:r w:rsidRPr="00224F1F">
              <w:rPr>
                <w:sz w:val="23"/>
                <w:szCs w:val="23"/>
              </w:rPr>
              <w:t>1.8% *</w:t>
            </w:r>
          </w:p>
          <w:p w:rsidR="0056138A" w:rsidRPr="00224F1F" w:rsidRDefault="0056138A" w:rsidP="0056138A">
            <w:pPr>
              <w:pStyle w:val="NoSpacing"/>
              <w:tabs>
                <w:tab w:val="decimal" w:pos="884"/>
              </w:tabs>
              <w:rPr>
                <w:sz w:val="23"/>
                <w:szCs w:val="23"/>
              </w:rPr>
            </w:pPr>
            <w:r w:rsidRPr="00224F1F">
              <w:rPr>
                <w:sz w:val="23"/>
                <w:szCs w:val="23"/>
              </w:rPr>
              <w:t xml:space="preserve">2.0% </w:t>
            </w:r>
            <w:r>
              <w:rPr>
                <w:sz w:val="23"/>
                <w:szCs w:val="23"/>
              </w:rPr>
              <w:t>**</w:t>
            </w:r>
          </w:p>
        </w:tc>
        <w:tc>
          <w:tcPr>
            <w:tcW w:w="1196" w:type="dxa"/>
            <w:tcBorders>
              <w:right w:val="nil"/>
            </w:tcBorders>
          </w:tcPr>
          <w:p w:rsidR="0056138A" w:rsidRPr="00224F1F" w:rsidRDefault="0056138A" w:rsidP="0056138A">
            <w:pPr>
              <w:pStyle w:val="NoSpacing"/>
              <w:tabs>
                <w:tab w:val="left" w:pos="864"/>
              </w:tabs>
              <w:ind w:left="884" w:hanging="884"/>
              <w:rPr>
                <w:sz w:val="23"/>
                <w:szCs w:val="23"/>
              </w:rPr>
            </w:pPr>
            <w:r w:rsidRPr="00224F1F">
              <w:rPr>
                <w:sz w:val="23"/>
                <w:szCs w:val="23"/>
              </w:rPr>
              <w:t>0.49%</w:t>
            </w:r>
          </w:p>
        </w:tc>
        <w:tc>
          <w:tcPr>
            <w:tcW w:w="4598" w:type="dxa"/>
            <w:tcBorders>
              <w:left w:val="nil"/>
            </w:tcBorders>
          </w:tcPr>
          <w:p w:rsidR="0056138A" w:rsidRPr="00224F1F" w:rsidRDefault="0056138A" w:rsidP="0056138A">
            <w:pPr>
              <w:pStyle w:val="NoSpacing"/>
              <w:tabs>
                <w:tab w:val="left" w:pos="864"/>
              </w:tabs>
              <w:ind w:left="884" w:hanging="884"/>
              <w:rPr>
                <w:sz w:val="23"/>
                <w:szCs w:val="23"/>
              </w:rPr>
            </w:pPr>
            <w:r w:rsidRPr="00224F1F">
              <w:rPr>
                <w:sz w:val="23"/>
                <w:szCs w:val="23"/>
              </w:rPr>
              <w:t>from</w:t>
            </w:r>
            <w:r w:rsidR="00B71440">
              <w:rPr>
                <w:sz w:val="23"/>
                <w:szCs w:val="23"/>
              </w:rPr>
              <w:t xml:space="preserve"> 28 Jan 2015 – (till 30 June)</w:t>
            </w:r>
          </w:p>
        </w:tc>
      </w:tr>
      <w:tr w:rsidR="0056138A" w:rsidRPr="00224F1F" w:rsidTr="00ED7B8E">
        <w:tc>
          <w:tcPr>
            <w:tcW w:w="800" w:type="dxa"/>
          </w:tcPr>
          <w:p w:rsidR="0056138A" w:rsidRPr="00224F1F" w:rsidRDefault="0056138A" w:rsidP="003F09BC">
            <w:pPr>
              <w:pStyle w:val="NoSpacing"/>
              <w:rPr>
                <w:sz w:val="23"/>
                <w:szCs w:val="23"/>
              </w:rPr>
            </w:pPr>
            <w:r w:rsidRPr="00224F1F">
              <w:rPr>
                <w:sz w:val="23"/>
                <w:szCs w:val="23"/>
              </w:rPr>
              <w:t>2016</w:t>
            </w:r>
          </w:p>
        </w:tc>
        <w:tc>
          <w:tcPr>
            <w:tcW w:w="2350" w:type="dxa"/>
          </w:tcPr>
          <w:p w:rsidR="0056138A" w:rsidRDefault="0056138A" w:rsidP="0056138A">
            <w:pPr>
              <w:pStyle w:val="NoSpacing"/>
              <w:tabs>
                <w:tab w:val="decimal" w:pos="884"/>
              </w:tabs>
              <w:rPr>
                <w:sz w:val="23"/>
                <w:szCs w:val="23"/>
              </w:rPr>
            </w:pPr>
            <w:r w:rsidRPr="00224F1F">
              <w:rPr>
                <w:sz w:val="23"/>
                <w:szCs w:val="23"/>
              </w:rPr>
              <w:t>2.5% *</w:t>
            </w:r>
          </w:p>
          <w:p w:rsidR="0056138A" w:rsidRPr="00224F1F" w:rsidRDefault="0056138A" w:rsidP="0056138A">
            <w:pPr>
              <w:pStyle w:val="NoSpacing"/>
              <w:tabs>
                <w:tab w:val="decimal" w:pos="884"/>
              </w:tabs>
              <w:rPr>
                <w:sz w:val="23"/>
                <w:szCs w:val="23"/>
              </w:rPr>
            </w:pPr>
            <w:r w:rsidRPr="00224F1F">
              <w:rPr>
                <w:sz w:val="23"/>
                <w:szCs w:val="23"/>
              </w:rPr>
              <w:t xml:space="preserve">2.4% </w:t>
            </w:r>
            <w:r>
              <w:rPr>
                <w:sz w:val="23"/>
                <w:szCs w:val="23"/>
              </w:rPr>
              <w:t>**</w:t>
            </w:r>
          </w:p>
        </w:tc>
        <w:tc>
          <w:tcPr>
            <w:tcW w:w="1196" w:type="dxa"/>
            <w:tcBorders>
              <w:right w:val="nil"/>
            </w:tcBorders>
          </w:tcPr>
          <w:p w:rsidR="0056138A" w:rsidRPr="00224F1F" w:rsidRDefault="0056138A" w:rsidP="00B71440">
            <w:pPr>
              <w:pStyle w:val="NoSpacing"/>
              <w:rPr>
                <w:sz w:val="23"/>
                <w:szCs w:val="23"/>
              </w:rPr>
            </w:pPr>
          </w:p>
        </w:tc>
        <w:tc>
          <w:tcPr>
            <w:tcW w:w="4598" w:type="dxa"/>
            <w:tcBorders>
              <w:left w:val="nil"/>
            </w:tcBorders>
          </w:tcPr>
          <w:p w:rsidR="0056138A" w:rsidRPr="00224F1F" w:rsidRDefault="0056138A" w:rsidP="00B71440">
            <w:pPr>
              <w:pStyle w:val="NoSpacing"/>
              <w:rPr>
                <w:sz w:val="23"/>
                <w:szCs w:val="23"/>
              </w:rPr>
            </w:pPr>
          </w:p>
        </w:tc>
      </w:tr>
      <w:tr w:rsidR="0056138A" w:rsidRPr="00224F1F" w:rsidTr="00ED7B8E">
        <w:tc>
          <w:tcPr>
            <w:tcW w:w="800" w:type="dxa"/>
          </w:tcPr>
          <w:p w:rsidR="0056138A" w:rsidRPr="00224F1F" w:rsidRDefault="0056138A" w:rsidP="003F09BC">
            <w:pPr>
              <w:pStyle w:val="NoSpacing"/>
              <w:rPr>
                <w:sz w:val="23"/>
                <w:szCs w:val="23"/>
              </w:rPr>
            </w:pPr>
            <w:r w:rsidRPr="00224F1F">
              <w:rPr>
                <w:sz w:val="23"/>
                <w:szCs w:val="23"/>
              </w:rPr>
              <w:t>2017</w:t>
            </w:r>
          </w:p>
        </w:tc>
        <w:tc>
          <w:tcPr>
            <w:tcW w:w="2350" w:type="dxa"/>
          </w:tcPr>
          <w:p w:rsidR="0056138A" w:rsidRDefault="0056138A" w:rsidP="0056138A">
            <w:pPr>
              <w:pStyle w:val="NoSpacing"/>
              <w:tabs>
                <w:tab w:val="decimal" w:pos="884"/>
              </w:tabs>
              <w:rPr>
                <w:sz w:val="23"/>
                <w:szCs w:val="23"/>
              </w:rPr>
            </w:pPr>
            <w:r w:rsidRPr="00224F1F">
              <w:rPr>
                <w:sz w:val="23"/>
                <w:szCs w:val="23"/>
              </w:rPr>
              <w:t>2.3% *</w:t>
            </w:r>
          </w:p>
          <w:p w:rsidR="0056138A" w:rsidRPr="00224F1F" w:rsidRDefault="0056138A" w:rsidP="0056138A">
            <w:pPr>
              <w:pStyle w:val="NoSpacing"/>
              <w:tabs>
                <w:tab w:val="decimal" w:pos="884"/>
              </w:tabs>
              <w:rPr>
                <w:sz w:val="23"/>
                <w:szCs w:val="23"/>
              </w:rPr>
            </w:pPr>
            <w:r w:rsidRPr="00224F1F">
              <w:rPr>
                <w:sz w:val="23"/>
                <w:szCs w:val="23"/>
              </w:rPr>
              <w:t xml:space="preserve">2.4% </w:t>
            </w:r>
            <w:r>
              <w:rPr>
                <w:sz w:val="23"/>
                <w:szCs w:val="23"/>
              </w:rPr>
              <w:t>**</w:t>
            </w:r>
          </w:p>
        </w:tc>
        <w:tc>
          <w:tcPr>
            <w:tcW w:w="1196" w:type="dxa"/>
            <w:tcBorders>
              <w:right w:val="nil"/>
            </w:tcBorders>
          </w:tcPr>
          <w:p w:rsidR="0056138A" w:rsidRPr="00224F1F" w:rsidRDefault="0056138A" w:rsidP="003F09BC">
            <w:pPr>
              <w:pStyle w:val="NoSpacing"/>
              <w:rPr>
                <w:sz w:val="23"/>
                <w:szCs w:val="23"/>
              </w:rPr>
            </w:pPr>
          </w:p>
        </w:tc>
        <w:tc>
          <w:tcPr>
            <w:tcW w:w="4598" w:type="dxa"/>
            <w:tcBorders>
              <w:left w:val="nil"/>
            </w:tcBorders>
          </w:tcPr>
          <w:p w:rsidR="0056138A" w:rsidRPr="00224F1F" w:rsidRDefault="0056138A" w:rsidP="003F09BC">
            <w:pPr>
              <w:pStyle w:val="NoSpacing"/>
              <w:rPr>
                <w:sz w:val="23"/>
                <w:szCs w:val="23"/>
              </w:rPr>
            </w:pPr>
          </w:p>
        </w:tc>
      </w:tr>
      <w:tr w:rsidR="0056138A" w:rsidRPr="00224F1F" w:rsidTr="00ED7B8E">
        <w:tc>
          <w:tcPr>
            <w:tcW w:w="800" w:type="dxa"/>
          </w:tcPr>
          <w:p w:rsidR="0056138A" w:rsidRPr="00224F1F" w:rsidRDefault="0056138A" w:rsidP="003F09BC">
            <w:pPr>
              <w:pStyle w:val="NoSpacing"/>
              <w:rPr>
                <w:sz w:val="23"/>
                <w:szCs w:val="23"/>
              </w:rPr>
            </w:pPr>
            <w:r w:rsidRPr="00224F1F">
              <w:rPr>
                <w:sz w:val="23"/>
                <w:szCs w:val="23"/>
              </w:rPr>
              <w:t>2018</w:t>
            </w:r>
          </w:p>
        </w:tc>
        <w:tc>
          <w:tcPr>
            <w:tcW w:w="2350" w:type="dxa"/>
          </w:tcPr>
          <w:p w:rsidR="0056138A" w:rsidRPr="00224F1F" w:rsidRDefault="0056138A" w:rsidP="0056138A">
            <w:pPr>
              <w:pStyle w:val="NoSpacing"/>
              <w:tabs>
                <w:tab w:val="decimal" w:pos="884"/>
              </w:tabs>
              <w:rPr>
                <w:sz w:val="23"/>
                <w:szCs w:val="23"/>
              </w:rPr>
            </w:pPr>
            <w:r w:rsidRPr="00224F1F">
              <w:rPr>
                <w:sz w:val="23"/>
                <w:szCs w:val="23"/>
              </w:rPr>
              <w:t>2.0% *</w:t>
            </w:r>
          </w:p>
        </w:tc>
        <w:tc>
          <w:tcPr>
            <w:tcW w:w="1196" w:type="dxa"/>
            <w:tcBorders>
              <w:right w:val="nil"/>
            </w:tcBorders>
          </w:tcPr>
          <w:p w:rsidR="0056138A" w:rsidRPr="00224F1F" w:rsidRDefault="0056138A" w:rsidP="003F09BC">
            <w:pPr>
              <w:pStyle w:val="NoSpacing"/>
              <w:rPr>
                <w:sz w:val="23"/>
                <w:szCs w:val="23"/>
              </w:rPr>
            </w:pPr>
          </w:p>
        </w:tc>
        <w:tc>
          <w:tcPr>
            <w:tcW w:w="4598" w:type="dxa"/>
            <w:tcBorders>
              <w:left w:val="nil"/>
            </w:tcBorders>
          </w:tcPr>
          <w:p w:rsidR="0056138A" w:rsidRPr="00224F1F" w:rsidRDefault="0056138A" w:rsidP="003F09BC">
            <w:pPr>
              <w:pStyle w:val="NoSpacing"/>
              <w:rPr>
                <w:sz w:val="23"/>
                <w:szCs w:val="23"/>
              </w:rPr>
            </w:pPr>
          </w:p>
        </w:tc>
      </w:tr>
    </w:tbl>
    <w:p w:rsidR="00A27375" w:rsidRPr="00E22664" w:rsidRDefault="00A27375" w:rsidP="00A27375">
      <w:pPr>
        <w:pStyle w:val="PlainText"/>
        <w:tabs>
          <w:tab w:val="left" w:pos="1134"/>
        </w:tabs>
        <w:ind w:left="1134" w:hanging="567"/>
        <w:jc w:val="both"/>
        <w:rPr>
          <w:rFonts w:ascii="Arial" w:hAnsi="Arial" w:cs="Arial"/>
          <w:sz w:val="8"/>
          <w:szCs w:val="8"/>
          <w:highlight w:val="yellow"/>
        </w:rPr>
      </w:pPr>
    </w:p>
    <w:p w:rsidR="00A27375" w:rsidRPr="00E22664" w:rsidRDefault="00A27375" w:rsidP="00A27375">
      <w:pPr>
        <w:pStyle w:val="PlainText"/>
        <w:tabs>
          <w:tab w:val="left" w:pos="1134"/>
        </w:tabs>
        <w:ind w:left="1134" w:hanging="567"/>
        <w:jc w:val="both"/>
        <w:rPr>
          <w:rFonts w:ascii="Arial" w:hAnsi="Arial" w:cs="Arial"/>
          <w:i/>
          <w:sz w:val="23"/>
          <w:szCs w:val="23"/>
        </w:rPr>
      </w:pPr>
      <w:r>
        <w:rPr>
          <w:rFonts w:ascii="Arial" w:hAnsi="Arial" w:cs="Arial"/>
          <w:i/>
          <w:sz w:val="23"/>
          <w:szCs w:val="23"/>
        </w:rPr>
        <w:t>*</w:t>
      </w:r>
      <w:r w:rsidR="0056138A">
        <w:rPr>
          <w:rFonts w:ascii="Arial" w:hAnsi="Arial" w:cs="Arial"/>
          <w:i/>
          <w:sz w:val="23"/>
          <w:szCs w:val="23"/>
        </w:rPr>
        <w:tab/>
      </w:r>
      <w:r>
        <w:rPr>
          <w:rFonts w:ascii="Arial" w:hAnsi="Arial" w:cs="Arial"/>
          <w:i/>
          <w:sz w:val="23"/>
          <w:szCs w:val="23"/>
        </w:rPr>
        <w:t>March year p</w:t>
      </w:r>
      <w:r w:rsidRPr="009A227E">
        <w:rPr>
          <w:rFonts w:ascii="Arial" w:hAnsi="Arial" w:cs="Arial"/>
          <w:i/>
          <w:sz w:val="23"/>
          <w:szCs w:val="23"/>
        </w:rPr>
        <w:t>roject</w:t>
      </w:r>
      <w:r>
        <w:rPr>
          <w:rFonts w:ascii="Arial" w:hAnsi="Arial" w:cs="Arial"/>
          <w:i/>
          <w:sz w:val="23"/>
          <w:szCs w:val="23"/>
        </w:rPr>
        <w:t>ions</w:t>
      </w:r>
      <w:r w:rsidRPr="009A227E">
        <w:rPr>
          <w:rFonts w:ascii="Arial" w:hAnsi="Arial" w:cs="Arial"/>
          <w:i/>
          <w:sz w:val="23"/>
          <w:szCs w:val="23"/>
        </w:rPr>
        <w:t xml:space="preserve"> in</w:t>
      </w:r>
      <w:r>
        <w:rPr>
          <w:sz w:val="23"/>
          <w:szCs w:val="23"/>
        </w:rPr>
        <w:t xml:space="preserve"> </w:t>
      </w:r>
      <w:r w:rsidRPr="00E22664">
        <w:rPr>
          <w:rFonts w:ascii="Arial" w:hAnsi="Arial" w:cs="Arial"/>
          <w:i/>
          <w:sz w:val="23"/>
          <w:szCs w:val="23"/>
        </w:rPr>
        <w:t xml:space="preserve">8 May 2014 Treasury Budget projections. </w:t>
      </w:r>
      <w:r w:rsidR="00B71440">
        <w:rPr>
          <w:rFonts w:ascii="Arial" w:hAnsi="Arial" w:cs="Arial"/>
          <w:i/>
          <w:sz w:val="23"/>
          <w:szCs w:val="23"/>
        </w:rPr>
        <w:t xml:space="preserve"> </w:t>
      </w:r>
      <w:r w:rsidRPr="00E22664">
        <w:rPr>
          <w:rFonts w:ascii="Arial" w:hAnsi="Arial" w:cs="Arial"/>
          <w:i/>
          <w:sz w:val="23"/>
          <w:szCs w:val="23"/>
        </w:rPr>
        <w:t>Update due August 19</w:t>
      </w:r>
      <w:r w:rsidRPr="00E22664">
        <w:rPr>
          <w:rFonts w:ascii="Arial" w:hAnsi="Arial" w:cs="Arial"/>
          <w:i/>
          <w:sz w:val="23"/>
          <w:szCs w:val="23"/>
          <w:vertAlign w:val="superscript"/>
        </w:rPr>
        <w:t>th</w:t>
      </w:r>
      <w:r w:rsidRPr="00E22664">
        <w:rPr>
          <w:rFonts w:ascii="Arial" w:hAnsi="Arial" w:cs="Arial"/>
          <w:i/>
          <w:sz w:val="23"/>
          <w:szCs w:val="23"/>
        </w:rPr>
        <w:t xml:space="preserve"> 2014.</w:t>
      </w:r>
    </w:p>
    <w:p w:rsidR="00A27375" w:rsidRPr="009A227E" w:rsidRDefault="00B71440" w:rsidP="00A27375">
      <w:pPr>
        <w:pStyle w:val="PlainText"/>
        <w:tabs>
          <w:tab w:val="left" w:pos="1134"/>
        </w:tabs>
        <w:ind w:left="1134" w:hanging="567"/>
        <w:jc w:val="both"/>
        <w:rPr>
          <w:rFonts w:ascii="Arial" w:hAnsi="Arial" w:cs="Arial"/>
          <w:i/>
          <w:sz w:val="23"/>
          <w:szCs w:val="23"/>
        </w:rPr>
      </w:pPr>
      <w:r>
        <w:rPr>
          <w:rFonts w:ascii="Arial" w:hAnsi="Arial" w:cs="Arial"/>
          <w:i/>
          <w:sz w:val="23"/>
          <w:szCs w:val="23"/>
        </w:rPr>
        <w:t>**</w:t>
      </w:r>
      <w:r w:rsidR="0056138A">
        <w:rPr>
          <w:rFonts w:ascii="Arial" w:hAnsi="Arial" w:cs="Arial"/>
          <w:i/>
          <w:sz w:val="23"/>
          <w:szCs w:val="23"/>
        </w:rPr>
        <w:tab/>
      </w:r>
      <w:r w:rsidR="00A27375" w:rsidRPr="009A227E">
        <w:rPr>
          <w:rFonts w:ascii="Arial" w:hAnsi="Arial" w:cs="Arial"/>
          <w:i/>
          <w:sz w:val="23"/>
          <w:szCs w:val="23"/>
        </w:rPr>
        <w:t>March year projections by NZ</w:t>
      </w:r>
      <w:r w:rsidR="00A27375">
        <w:rPr>
          <w:rFonts w:ascii="Arial" w:hAnsi="Arial" w:cs="Arial"/>
          <w:i/>
          <w:sz w:val="23"/>
          <w:szCs w:val="23"/>
        </w:rPr>
        <w:t>I</w:t>
      </w:r>
      <w:r w:rsidR="00A27375" w:rsidRPr="009A227E">
        <w:rPr>
          <w:rFonts w:ascii="Arial" w:hAnsi="Arial" w:cs="Arial"/>
          <w:i/>
          <w:sz w:val="23"/>
          <w:szCs w:val="23"/>
        </w:rPr>
        <w:t>ER June 2014</w:t>
      </w:r>
    </w:p>
    <w:p w:rsidR="00A27375" w:rsidRPr="00715BE6" w:rsidRDefault="00A27375" w:rsidP="00A27375">
      <w:pPr>
        <w:pStyle w:val="PlainText"/>
        <w:tabs>
          <w:tab w:val="left" w:pos="1134"/>
        </w:tabs>
        <w:ind w:left="1134" w:hanging="567"/>
        <w:jc w:val="both"/>
        <w:rPr>
          <w:rFonts w:ascii="Arial" w:hAnsi="Arial" w:cs="Arial"/>
          <w:sz w:val="23"/>
          <w:szCs w:val="23"/>
        </w:rPr>
      </w:pPr>
    </w:p>
    <w:p w:rsidR="00A27375" w:rsidRPr="00715BE6" w:rsidRDefault="00A27375" w:rsidP="009865AC">
      <w:pPr>
        <w:pStyle w:val="NoSpacing"/>
        <w:spacing w:after="120"/>
        <w:ind w:left="1134" w:hanging="567"/>
        <w:jc w:val="both"/>
        <w:rPr>
          <w:sz w:val="23"/>
          <w:szCs w:val="23"/>
        </w:rPr>
      </w:pPr>
      <w:r w:rsidRPr="00715BE6">
        <w:rPr>
          <w:sz w:val="23"/>
          <w:szCs w:val="23"/>
        </w:rPr>
        <w:lastRenderedPageBreak/>
        <w:t>4.4</w:t>
      </w:r>
      <w:r w:rsidRPr="00715BE6">
        <w:rPr>
          <w:sz w:val="23"/>
          <w:szCs w:val="23"/>
        </w:rPr>
        <w:tab/>
      </w:r>
      <w:r w:rsidR="00735630">
        <w:rPr>
          <w:sz w:val="23"/>
          <w:szCs w:val="23"/>
        </w:rPr>
        <w:t>It is apparent that</w:t>
      </w:r>
      <w:r w:rsidRPr="00715BE6">
        <w:rPr>
          <w:sz w:val="23"/>
          <w:szCs w:val="23"/>
        </w:rPr>
        <w:t xml:space="preserve"> a CPI catch up claim could b</w:t>
      </w:r>
      <w:r w:rsidR="001554B5">
        <w:rPr>
          <w:sz w:val="23"/>
          <w:szCs w:val="23"/>
        </w:rPr>
        <w:t xml:space="preserve">e very high for the first year. </w:t>
      </w:r>
      <w:r w:rsidR="00B71440">
        <w:rPr>
          <w:sz w:val="23"/>
          <w:szCs w:val="23"/>
        </w:rPr>
        <w:t xml:space="preserve"> </w:t>
      </w:r>
      <w:r>
        <w:rPr>
          <w:sz w:val="23"/>
          <w:szCs w:val="23"/>
        </w:rPr>
        <w:t>However, e</w:t>
      </w:r>
      <w:r w:rsidRPr="00715BE6">
        <w:rPr>
          <w:sz w:val="23"/>
          <w:szCs w:val="23"/>
        </w:rPr>
        <w:t>xecutive and regional chair members have strongly endorsed a salary claim that will contain</w:t>
      </w:r>
      <w:r w:rsidR="00735630">
        <w:rPr>
          <w:sz w:val="23"/>
          <w:szCs w:val="23"/>
        </w:rPr>
        <w:t>:</w:t>
      </w:r>
    </w:p>
    <w:p w:rsidR="00A27375" w:rsidRPr="00715BE6" w:rsidRDefault="00A27375" w:rsidP="009865AC">
      <w:pPr>
        <w:pStyle w:val="NoSpacing"/>
        <w:spacing w:after="120"/>
        <w:ind w:left="1701" w:hanging="567"/>
        <w:jc w:val="both"/>
        <w:rPr>
          <w:sz w:val="23"/>
          <w:szCs w:val="23"/>
        </w:rPr>
      </w:pPr>
      <w:proofErr w:type="gramStart"/>
      <w:r w:rsidRPr="00715BE6">
        <w:rPr>
          <w:sz w:val="23"/>
          <w:szCs w:val="23"/>
        </w:rPr>
        <w:t>a</w:t>
      </w:r>
      <w:proofErr w:type="gramEnd"/>
      <w:r w:rsidRPr="00715BE6">
        <w:rPr>
          <w:sz w:val="23"/>
          <w:szCs w:val="23"/>
        </w:rPr>
        <w:t>.</w:t>
      </w:r>
      <w:r w:rsidRPr="00715BE6">
        <w:rPr>
          <w:sz w:val="23"/>
          <w:szCs w:val="23"/>
        </w:rPr>
        <w:tab/>
        <w:t>a percentage increase on all scales to catch up with inflation (CPI) for the first year</w:t>
      </w:r>
      <w:r w:rsidR="00735630">
        <w:rPr>
          <w:sz w:val="23"/>
          <w:szCs w:val="23"/>
        </w:rPr>
        <w:t>; and</w:t>
      </w:r>
    </w:p>
    <w:p w:rsidR="00A27375" w:rsidRDefault="00A27375" w:rsidP="00A27375">
      <w:pPr>
        <w:pStyle w:val="NoSpacing"/>
        <w:ind w:left="1701" w:hanging="567"/>
        <w:jc w:val="both"/>
        <w:rPr>
          <w:sz w:val="23"/>
          <w:szCs w:val="23"/>
        </w:rPr>
      </w:pPr>
      <w:proofErr w:type="gramStart"/>
      <w:r w:rsidRPr="00715BE6">
        <w:rPr>
          <w:sz w:val="23"/>
          <w:szCs w:val="23"/>
        </w:rPr>
        <w:t>b</w:t>
      </w:r>
      <w:proofErr w:type="gramEnd"/>
      <w:r w:rsidRPr="00715BE6">
        <w:rPr>
          <w:sz w:val="23"/>
          <w:szCs w:val="23"/>
        </w:rPr>
        <w:t>.</w:t>
      </w:r>
      <w:r w:rsidRPr="00715BE6">
        <w:rPr>
          <w:sz w:val="23"/>
          <w:szCs w:val="23"/>
        </w:rPr>
        <w:tab/>
        <w:t>a percentage increase on all scales as per projected inflation for second (</w:t>
      </w:r>
      <w:r w:rsidR="00B71440">
        <w:rPr>
          <w:sz w:val="23"/>
          <w:szCs w:val="23"/>
        </w:rPr>
        <w:t>and possible subsequent years).</w:t>
      </w:r>
    </w:p>
    <w:p w:rsidR="00A27375" w:rsidRPr="00EF4871" w:rsidRDefault="00A27375" w:rsidP="00EF4871">
      <w:pPr>
        <w:pStyle w:val="Heading1"/>
        <w:numPr>
          <w:ilvl w:val="0"/>
          <w:numId w:val="8"/>
        </w:numPr>
        <w:ind w:left="567" w:hanging="567"/>
        <w:rPr>
          <w:rFonts w:ascii="Arial Black" w:hAnsi="Arial Black"/>
          <w:color w:val="auto"/>
          <w:sz w:val="23"/>
          <w:szCs w:val="23"/>
        </w:rPr>
      </w:pPr>
      <w:bookmarkStart w:id="4" w:name="_Toc395179736"/>
      <w:r w:rsidRPr="00EF4871">
        <w:rPr>
          <w:rFonts w:ascii="Arial Black" w:hAnsi="Arial Black"/>
          <w:color w:val="auto"/>
          <w:sz w:val="23"/>
          <w:szCs w:val="23"/>
        </w:rPr>
        <w:t>What this means for conditions claims</w:t>
      </w:r>
      <w:bookmarkEnd w:id="4"/>
    </w:p>
    <w:p w:rsidR="00A27375" w:rsidRPr="007A7685" w:rsidRDefault="00A27375" w:rsidP="00A27375">
      <w:pPr>
        <w:pStyle w:val="PlainText"/>
        <w:tabs>
          <w:tab w:val="left" w:pos="1134"/>
        </w:tabs>
        <w:jc w:val="both"/>
        <w:rPr>
          <w:rFonts w:ascii="Arial" w:hAnsi="Arial" w:cs="Arial"/>
          <w:sz w:val="23"/>
          <w:szCs w:val="23"/>
        </w:rPr>
      </w:pPr>
    </w:p>
    <w:p w:rsidR="00A27375" w:rsidRDefault="00A27375" w:rsidP="00A27375">
      <w:pPr>
        <w:pStyle w:val="PlainText"/>
        <w:tabs>
          <w:tab w:val="left" w:pos="1134"/>
        </w:tabs>
        <w:ind w:left="1134" w:hanging="567"/>
        <w:jc w:val="both"/>
        <w:rPr>
          <w:rFonts w:ascii="Arial" w:hAnsi="Arial" w:cs="Arial"/>
          <w:sz w:val="23"/>
          <w:szCs w:val="23"/>
        </w:rPr>
      </w:pPr>
      <w:r w:rsidRPr="00811B51">
        <w:rPr>
          <w:rFonts w:ascii="Arial" w:hAnsi="Arial" w:cs="Arial"/>
          <w:sz w:val="23"/>
          <w:szCs w:val="23"/>
        </w:rPr>
        <w:t>5.1</w:t>
      </w:r>
      <w:r w:rsidRPr="00811B51">
        <w:rPr>
          <w:rFonts w:ascii="Arial" w:hAnsi="Arial" w:cs="Arial"/>
          <w:sz w:val="23"/>
          <w:szCs w:val="23"/>
        </w:rPr>
        <w:tab/>
        <w:t>If we are serious about a major salary increase claim in this round</w:t>
      </w:r>
      <w:r>
        <w:rPr>
          <w:rFonts w:ascii="Arial" w:hAnsi="Arial" w:cs="Arial"/>
          <w:sz w:val="23"/>
          <w:szCs w:val="23"/>
        </w:rPr>
        <w:t>, members will need to ag</w:t>
      </w:r>
      <w:r w:rsidR="009865AC">
        <w:rPr>
          <w:rFonts w:ascii="Arial" w:hAnsi="Arial" w:cs="Arial"/>
          <w:sz w:val="23"/>
          <w:szCs w:val="23"/>
        </w:rPr>
        <w:t>r</w:t>
      </w:r>
      <w:r>
        <w:rPr>
          <w:rFonts w:ascii="Arial" w:hAnsi="Arial" w:cs="Arial"/>
          <w:sz w:val="23"/>
          <w:szCs w:val="23"/>
        </w:rPr>
        <w:t>ee that there cannot also be a raft of conditions claims, as we have pur</w:t>
      </w:r>
      <w:r w:rsidR="004F059C">
        <w:rPr>
          <w:rFonts w:ascii="Arial" w:hAnsi="Arial" w:cs="Arial"/>
          <w:sz w:val="23"/>
          <w:szCs w:val="23"/>
        </w:rPr>
        <w:t xml:space="preserve">sued in previous rounds. </w:t>
      </w:r>
      <w:r w:rsidR="00B71440">
        <w:rPr>
          <w:rFonts w:ascii="Arial" w:hAnsi="Arial" w:cs="Arial"/>
          <w:sz w:val="23"/>
          <w:szCs w:val="23"/>
        </w:rPr>
        <w:t xml:space="preserve"> </w:t>
      </w:r>
      <w:r w:rsidR="004F059C">
        <w:rPr>
          <w:rFonts w:ascii="Arial" w:hAnsi="Arial" w:cs="Arial"/>
          <w:sz w:val="23"/>
          <w:szCs w:val="23"/>
        </w:rPr>
        <w:t>First</w:t>
      </w:r>
      <w:r>
        <w:rPr>
          <w:rFonts w:ascii="Arial" w:hAnsi="Arial" w:cs="Arial"/>
          <w:sz w:val="23"/>
          <w:szCs w:val="23"/>
        </w:rPr>
        <w:t xml:space="preserve">, such claims will be unaffordable if we want all the available money to go into salary. </w:t>
      </w:r>
      <w:r w:rsidR="00B71440">
        <w:rPr>
          <w:rFonts w:ascii="Arial" w:hAnsi="Arial" w:cs="Arial"/>
          <w:sz w:val="23"/>
          <w:szCs w:val="23"/>
        </w:rPr>
        <w:t xml:space="preserve"> </w:t>
      </w:r>
      <w:r>
        <w:rPr>
          <w:rFonts w:ascii="Arial" w:hAnsi="Arial" w:cs="Arial"/>
          <w:sz w:val="23"/>
          <w:szCs w:val="23"/>
        </w:rPr>
        <w:t xml:space="preserve">Secondly, </w:t>
      </w:r>
      <w:proofErr w:type="gramStart"/>
      <w:r>
        <w:rPr>
          <w:rFonts w:ascii="Arial" w:hAnsi="Arial" w:cs="Arial"/>
          <w:sz w:val="23"/>
          <w:szCs w:val="23"/>
        </w:rPr>
        <w:t>conditions claims</w:t>
      </w:r>
      <w:proofErr w:type="gramEnd"/>
      <w:r>
        <w:rPr>
          <w:rFonts w:ascii="Arial" w:hAnsi="Arial" w:cs="Arial"/>
          <w:sz w:val="23"/>
          <w:szCs w:val="23"/>
        </w:rPr>
        <w:t xml:space="preserve"> are often complex and result in very long drawn out discussion in negotiations, which can side-track the major issue or issues.</w:t>
      </w:r>
    </w:p>
    <w:p w:rsidR="00A27375" w:rsidRDefault="00A27375" w:rsidP="00A27375">
      <w:pPr>
        <w:pStyle w:val="PlainText"/>
        <w:tabs>
          <w:tab w:val="left" w:pos="1134"/>
        </w:tabs>
        <w:ind w:left="1134" w:hanging="567"/>
        <w:jc w:val="both"/>
        <w:rPr>
          <w:rFonts w:ascii="Arial" w:hAnsi="Arial" w:cs="Arial"/>
          <w:sz w:val="23"/>
          <w:szCs w:val="23"/>
        </w:rPr>
      </w:pPr>
    </w:p>
    <w:p w:rsidR="00A27375" w:rsidRDefault="00A27375" w:rsidP="00A27375">
      <w:pPr>
        <w:pStyle w:val="PlainText"/>
        <w:tabs>
          <w:tab w:val="left" w:pos="1134"/>
        </w:tabs>
        <w:ind w:left="1134" w:hanging="567"/>
        <w:jc w:val="both"/>
        <w:rPr>
          <w:rFonts w:ascii="Arial" w:hAnsi="Arial" w:cs="Arial"/>
          <w:sz w:val="23"/>
          <w:szCs w:val="23"/>
        </w:rPr>
      </w:pPr>
      <w:r>
        <w:rPr>
          <w:rFonts w:ascii="Arial" w:hAnsi="Arial" w:cs="Arial"/>
          <w:sz w:val="23"/>
          <w:szCs w:val="23"/>
        </w:rPr>
        <w:t>5.2</w:t>
      </w:r>
      <w:r>
        <w:rPr>
          <w:rFonts w:ascii="Arial" w:hAnsi="Arial" w:cs="Arial"/>
          <w:sz w:val="23"/>
          <w:szCs w:val="23"/>
        </w:rPr>
        <w:tab/>
        <w:t>Accordingly, E</w:t>
      </w:r>
      <w:r w:rsidRPr="00811B51">
        <w:rPr>
          <w:rFonts w:ascii="Arial" w:hAnsi="Arial" w:cs="Arial"/>
          <w:sz w:val="23"/>
          <w:szCs w:val="23"/>
        </w:rPr>
        <w:t xml:space="preserve">xecutive thinking to date is </w:t>
      </w:r>
      <w:r w:rsidR="004F059C">
        <w:rPr>
          <w:rFonts w:ascii="Arial" w:hAnsi="Arial" w:cs="Arial"/>
          <w:sz w:val="23"/>
          <w:szCs w:val="23"/>
        </w:rPr>
        <w:t xml:space="preserve">that </w:t>
      </w:r>
      <w:r w:rsidRPr="00811B51">
        <w:rPr>
          <w:rFonts w:ascii="Arial" w:hAnsi="Arial" w:cs="Arial"/>
          <w:sz w:val="23"/>
          <w:szCs w:val="23"/>
        </w:rPr>
        <w:t xml:space="preserve">there should be very few conditions claims to </w:t>
      </w:r>
      <w:r w:rsidR="00735630">
        <w:rPr>
          <w:rFonts w:ascii="Arial" w:hAnsi="Arial" w:cs="Arial"/>
          <w:sz w:val="23"/>
          <w:szCs w:val="23"/>
        </w:rPr>
        <w:t xml:space="preserve">distract </w:t>
      </w:r>
      <w:r w:rsidRPr="00811B51">
        <w:rPr>
          <w:rFonts w:ascii="Arial" w:hAnsi="Arial" w:cs="Arial"/>
          <w:sz w:val="23"/>
          <w:szCs w:val="23"/>
        </w:rPr>
        <w:t xml:space="preserve">the employer team from addressing the </w:t>
      </w:r>
      <w:r>
        <w:rPr>
          <w:rFonts w:ascii="Arial" w:hAnsi="Arial" w:cs="Arial"/>
          <w:sz w:val="23"/>
          <w:szCs w:val="23"/>
        </w:rPr>
        <w:t xml:space="preserve">significant </w:t>
      </w:r>
      <w:r w:rsidR="00735630">
        <w:rPr>
          <w:rFonts w:ascii="Arial" w:hAnsi="Arial" w:cs="Arial"/>
          <w:sz w:val="23"/>
          <w:szCs w:val="23"/>
        </w:rPr>
        <w:t xml:space="preserve">increase </w:t>
      </w:r>
      <w:r w:rsidRPr="00811B51">
        <w:rPr>
          <w:rFonts w:ascii="Arial" w:hAnsi="Arial" w:cs="Arial"/>
          <w:sz w:val="23"/>
          <w:szCs w:val="23"/>
        </w:rPr>
        <w:t xml:space="preserve">in </w:t>
      </w:r>
      <w:r>
        <w:rPr>
          <w:rFonts w:ascii="Arial" w:hAnsi="Arial" w:cs="Arial"/>
          <w:sz w:val="23"/>
          <w:szCs w:val="23"/>
        </w:rPr>
        <w:t>actual cost of living that</w:t>
      </w:r>
      <w:r w:rsidRPr="00811B51">
        <w:rPr>
          <w:rFonts w:ascii="Arial" w:hAnsi="Arial" w:cs="Arial"/>
          <w:sz w:val="23"/>
          <w:szCs w:val="23"/>
        </w:rPr>
        <w:t xml:space="preserve"> </w:t>
      </w:r>
      <w:r>
        <w:rPr>
          <w:rFonts w:ascii="Arial" w:hAnsi="Arial" w:cs="Arial"/>
          <w:sz w:val="23"/>
          <w:szCs w:val="23"/>
        </w:rPr>
        <w:t xml:space="preserve">teachers have experienced </w:t>
      </w:r>
      <w:r w:rsidR="00B71440">
        <w:rPr>
          <w:rFonts w:ascii="Arial" w:hAnsi="Arial" w:cs="Arial"/>
          <w:sz w:val="23"/>
          <w:szCs w:val="23"/>
        </w:rPr>
        <w:t>over recent years.</w:t>
      </w:r>
    </w:p>
    <w:p w:rsidR="00A27375" w:rsidRDefault="00A27375" w:rsidP="00A27375">
      <w:pPr>
        <w:pStyle w:val="PlainText"/>
        <w:tabs>
          <w:tab w:val="left" w:pos="1134"/>
        </w:tabs>
        <w:ind w:left="1134" w:hanging="567"/>
        <w:jc w:val="both"/>
        <w:rPr>
          <w:rFonts w:ascii="Arial" w:hAnsi="Arial" w:cs="Arial"/>
          <w:sz w:val="23"/>
          <w:szCs w:val="23"/>
        </w:rPr>
      </w:pPr>
    </w:p>
    <w:p w:rsidR="00A27375" w:rsidRPr="00811B51" w:rsidRDefault="00A27375" w:rsidP="00A27375">
      <w:pPr>
        <w:pStyle w:val="PlainText"/>
        <w:tabs>
          <w:tab w:val="left" w:pos="1134"/>
        </w:tabs>
        <w:ind w:left="1134" w:hanging="567"/>
        <w:jc w:val="both"/>
        <w:rPr>
          <w:rFonts w:ascii="Arial" w:hAnsi="Arial" w:cs="Arial"/>
          <w:sz w:val="23"/>
          <w:szCs w:val="23"/>
        </w:rPr>
      </w:pPr>
      <w:r>
        <w:rPr>
          <w:rFonts w:ascii="Arial" w:hAnsi="Arial" w:cs="Arial"/>
          <w:sz w:val="23"/>
          <w:szCs w:val="23"/>
        </w:rPr>
        <w:t>5.3</w:t>
      </w:r>
      <w:r>
        <w:rPr>
          <w:rFonts w:ascii="Arial" w:hAnsi="Arial" w:cs="Arial"/>
          <w:sz w:val="23"/>
          <w:szCs w:val="23"/>
        </w:rPr>
        <w:tab/>
        <w:t xml:space="preserve">Executive has identified one </w:t>
      </w:r>
      <w:r w:rsidRPr="00811B51">
        <w:rPr>
          <w:rFonts w:ascii="Arial" w:hAnsi="Arial" w:cs="Arial"/>
          <w:sz w:val="23"/>
          <w:szCs w:val="23"/>
        </w:rPr>
        <w:t>major condition claim</w:t>
      </w:r>
      <w:r>
        <w:rPr>
          <w:rFonts w:ascii="Arial" w:hAnsi="Arial" w:cs="Arial"/>
          <w:sz w:val="23"/>
          <w:szCs w:val="23"/>
        </w:rPr>
        <w:t xml:space="preserve"> which is an</w:t>
      </w:r>
      <w:r w:rsidRPr="00811B51">
        <w:rPr>
          <w:rFonts w:ascii="Arial" w:hAnsi="Arial" w:cs="Arial"/>
          <w:sz w:val="23"/>
          <w:szCs w:val="23"/>
        </w:rPr>
        <w:t xml:space="preserve"> iconic</w:t>
      </w:r>
      <w:r>
        <w:rPr>
          <w:rFonts w:ascii="Arial" w:hAnsi="Arial" w:cs="Arial"/>
          <w:sz w:val="23"/>
          <w:szCs w:val="23"/>
        </w:rPr>
        <w:t xml:space="preserve"> claim for our membership in terms of equity and could also be met at little or no cost to the employer. </w:t>
      </w:r>
      <w:r w:rsidR="00B71440">
        <w:rPr>
          <w:rFonts w:ascii="Arial" w:hAnsi="Arial" w:cs="Arial"/>
          <w:sz w:val="23"/>
          <w:szCs w:val="23"/>
        </w:rPr>
        <w:t xml:space="preserve"> </w:t>
      </w:r>
      <w:r>
        <w:rPr>
          <w:rFonts w:ascii="Arial" w:hAnsi="Arial" w:cs="Arial"/>
          <w:sz w:val="23"/>
          <w:szCs w:val="23"/>
        </w:rPr>
        <w:t xml:space="preserve">That is the claim for equitable pro-rated non-contact time for part-timers, together (quid pro quo) with the removal of the 11% loading. </w:t>
      </w:r>
      <w:r w:rsidR="00B71440">
        <w:rPr>
          <w:rFonts w:ascii="Arial" w:hAnsi="Arial" w:cs="Arial"/>
          <w:sz w:val="23"/>
          <w:szCs w:val="23"/>
        </w:rPr>
        <w:t xml:space="preserve"> </w:t>
      </w:r>
      <w:r>
        <w:rPr>
          <w:rFonts w:ascii="Arial" w:hAnsi="Arial" w:cs="Arial"/>
          <w:sz w:val="23"/>
          <w:szCs w:val="23"/>
        </w:rPr>
        <w:t>This is the same claim we lodged in the last bargaining round and we believe it could be successful if lodged again.</w:t>
      </w:r>
    </w:p>
    <w:p w:rsidR="00A27375" w:rsidRPr="00811B51" w:rsidRDefault="00A27375" w:rsidP="00A27375">
      <w:pPr>
        <w:pStyle w:val="NoSpacing"/>
        <w:rPr>
          <w:sz w:val="23"/>
          <w:szCs w:val="23"/>
        </w:rPr>
      </w:pPr>
    </w:p>
    <w:p w:rsidR="00A27375" w:rsidRDefault="00A27375" w:rsidP="00A27375">
      <w:pPr>
        <w:pStyle w:val="NoSpacing"/>
        <w:ind w:left="1134" w:hanging="567"/>
        <w:jc w:val="both"/>
        <w:rPr>
          <w:sz w:val="23"/>
          <w:szCs w:val="23"/>
        </w:rPr>
      </w:pPr>
      <w:r>
        <w:rPr>
          <w:sz w:val="23"/>
          <w:szCs w:val="23"/>
        </w:rPr>
        <w:t>5.4</w:t>
      </w:r>
      <w:r>
        <w:rPr>
          <w:sz w:val="23"/>
          <w:szCs w:val="23"/>
        </w:rPr>
        <w:tab/>
      </w:r>
      <w:r w:rsidR="00E524D6">
        <w:rPr>
          <w:sz w:val="23"/>
          <w:szCs w:val="23"/>
        </w:rPr>
        <w:t>E</w:t>
      </w:r>
      <w:r>
        <w:rPr>
          <w:sz w:val="23"/>
          <w:szCs w:val="23"/>
        </w:rPr>
        <w:t>xecutive believes that a maximum of three</w:t>
      </w:r>
      <w:r w:rsidRPr="00C7298E">
        <w:rPr>
          <w:sz w:val="23"/>
          <w:szCs w:val="23"/>
        </w:rPr>
        <w:t xml:space="preserve"> </w:t>
      </w:r>
      <w:r>
        <w:rPr>
          <w:sz w:val="23"/>
          <w:szCs w:val="23"/>
        </w:rPr>
        <w:t xml:space="preserve">other appropriate claims could also be lodged, provided that they are at little or no cost, and not so complex that they could </w:t>
      </w:r>
      <w:r w:rsidR="00E524D6">
        <w:rPr>
          <w:sz w:val="23"/>
          <w:szCs w:val="23"/>
        </w:rPr>
        <w:t xml:space="preserve">divert attention </w:t>
      </w:r>
      <w:r>
        <w:rPr>
          <w:sz w:val="23"/>
          <w:szCs w:val="23"/>
        </w:rPr>
        <w:t>from the major salary claim.</w:t>
      </w:r>
    </w:p>
    <w:p w:rsidR="00A27375" w:rsidRDefault="00A27375" w:rsidP="00A27375">
      <w:pPr>
        <w:pStyle w:val="NoSpacing"/>
        <w:ind w:left="1134" w:hanging="567"/>
        <w:jc w:val="both"/>
        <w:rPr>
          <w:sz w:val="23"/>
          <w:szCs w:val="23"/>
        </w:rPr>
      </w:pPr>
    </w:p>
    <w:p w:rsidR="00A27375" w:rsidRDefault="00A27375" w:rsidP="009865AC">
      <w:pPr>
        <w:pStyle w:val="NoSpacing"/>
        <w:spacing w:after="120"/>
        <w:ind w:left="1134" w:hanging="567"/>
        <w:jc w:val="both"/>
        <w:rPr>
          <w:sz w:val="23"/>
          <w:szCs w:val="23"/>
        </w:rPr>
      </w:pPr>
      <w:r>
        <w:rPr>
          <w:sz w:val="23"/>
          <w:szCs w:val="23"/>
        </w:rPr>
        <w:t>5.5</w:t>
      </w:r>
      <w:r>
        <w:rPr>
          <w:sz w:val="23"/>
          <w:szCs w:val="23"/>
        </w:rPr>
        <w:tab/>
        <w:t xml:space="preserve">The suggested approach to these is that branches hold meetings in the fourth term to discuss such claims, and that they be asked to forward their top three minor claims to National Office. </w:t>
      </w:r>
      <w:r w:rsidR="00B71440">
        <w:rPr>
          <w:sz w:val="23"/>
          <w:szCs w:val="23"/>
        </w:rPr>
        <w:t xml:space="preserve"> </w:t>
      </w:r>
      <w:r>
        <w:rPr>
          <w:sz w:val="23"/>
          <w:szCs w:val="23"/>
        </w:rPr>
        <w:t>The three most common would then be included in the claim, provided</w:t>
      </w:r>
      <w:r w:rsidR="004F059C">
        <w:rPr>
          <w:sz w:val="23"/>
          <w:szCs w:val="23"/>
        </w:rPr>
        <w:t xml:space="preserve"> that they m</w:t>
      </w:r>
      <w:r>
        <w:rPr>
          <w:sz w:val="23"/>
          <w:szCs w:val="23"/>
        </w:rPr>
        <w:t>et the following criteria</w:t>
      </w:r>
      <w:r w:rsidR="00E524D6">
        <w:rPr>
          <w:sz w:val="23"/>
          <w:szCs w:val="23"/>
        </w:rPr>
        <w:t>:</w:t>
      </w:r>
    </w:p>
    <w:p w:rsidR="00A27375" w:rsidRPr="00C7298E" w:rsidRDefault="004F059C" w:rsidP="009865AC">
      <w:pPr>
        <w:pStyle w:val="NoSpacing"/>
        <w:numPr>
          <w:ilvl w:val="0"/>
          <w:numId w:val="3"/>
        </w:numPr>
        <w:spacing w:after="120"/>
        <w:ind w:left="1701" w:hanging="567"/>
        <w:jc w:val="both"/>
        <w:rPr>
          <w:sz w:val="23"/>
          <w:szCs w:val="23"/>
        </w:rPr>
      </w:pPr>
      <w:r>
        <w:rPr>
          <w:sz w:val="23"/>
          <w:szCs w:val="23"/>
        </w:rPr>
        <w:t>Widely-held/deeply-</w:t>
      </w:r>
      <w:r w:rsidR="00A27375" w:rsidRPr="00C7298E">
        <w:rPr>
          <w:sz w:val="23"/>
          <w:szCs w:val="23"/>
        </w:rPr>
        <w:t>felt</w:t>
      </w:r>
      <w:r>
        <w:rPr>
          <w:sz w:val="23"/>
          <w:szCs w:val="23"/>
        </w:rPr>
        <w:t>;</w:t>
      </w:r>
    </w:p>
    <w:p w:rsidR="00A27375" w:rsidRPr="00C7298E" w:rsidRDefault="00A27375" w:rsidP="009865AC">
      <w:pPr>
        <w:pStyle w:val="NoSpacing"/>
        <w:numPr>
          <w:ilvl w:val="0"/>
          <w:numId w:val="3"/>
        </w:numPr>
        <w:spacing w:after="120"/>
        <w:ind w:left="1701" w:hanging="567"/>
        <w:jc w:val="both"/>
        <w:rPr>
          <w:sz w:val="23"/>
          <w:szCs w:val="23"/>
        </w:rPr>
      </w:pPr>
      <w:r w:rsidRPr="00C7298E">
        <w:rPr>
          <w:sz w:val="23"/>
          <w:szCs w:val="23"/>
        </w:rPr>
        <w:t>Low cost</w:t>
      </w:r>
      <w:r w:rsidR="004F059C">
        <w:rPr>
          <w:sz w:val="23"/>
          <w:szCs w:val="23"/>
        </w:rPr>
        <w:t>;</w:t>
      </w:r>
    </w:p>
    <w:p w:rsidR="00A27375" w:rsidRPr="00C7298E" w:rsidRDefault="00A27375" w:rsidP="009865AC">
      <w:pPr>
        <w:pStyle w:val="NoSpacing"/>
        <w:numPr>
          <w:ilvl w:val="0"/>
          <w:numId w:val="3"/>
        </w:numPr>
        <w:spacing w:after="120"/>
        <w:ind w:left="1701" w:hanging="567"/>
        <w:jc w:val="both"/>
        <w:rPr>
          <w:sz w:val="23"/>
          <w:szCs w:val="23"/>
        </w:rPr>
      </w:pPr>
      <w:r w:rsidRPr="00C7298E">
        <w:rPr>
          <w:sz w:val="23"/>
          <w:szCs w:val="23"/>
        </w:rPr>
        <w:t>Simple, i</w:t>
      </w:r>
      <w:r>
        <w:rPr>
          <w:sz w:val="23"/>
          <w:szCs w:val="23"/>
        </w:rPr>
        <w:t>.</w:t>
      </w:r>
      <w:r w:rsidRPr="00C7298E">
        <w:rPr>
          <w:sz w:val="23"/>
          <w:szCs w:val="23"/>
        </w:rPr>
        <w:t>e</w:t>
      </w:r>
      <w:r>
        <w:rPr>
          <w:sz w:val="23"/>
          <w:szCs w:val="23"/>
        </w:rPr>
        <w:t>.</w:t>
      </w:r>
      <w:r w:rsidRPr="00C7298E">
        <w:rPr>
          <w:sz w:val="23"/>
          <w:szCs w:val="23"/>
        </w:rPr>
        <w:t xml:space="preserve"> increase in family leave, mileage allowance </w:t>
      </w:r>
      <w:proofErr w:type="spellStart"/>
      <w:r w:rsidRPr="00C7298E">
        <w:rPr>
          <w:sz w:val="23"/>
          <w:szCs w:val="23"/>
        </w:rPr>
        <w:t>etc</w:t>
      </w:r>
      <w:proofErr w:type="spellEnd"/>
      <w:r w:rsidR="004F059C">
        <w:rPr>
          <w:sz w:val="23"/>
          <w:szCs w:val="23"/>
        </w:rPr>
        <w:t>; and</w:t>
      </w:r>
    </w:p>
    <w:p w:rsidR="00A27375" w:rsidRDefault="00A27375" w:rsidP="00A27375">
      <w:pPr>
        <w:pStyle w:val="NoSpacing"/>
        <w:numPr>
          <w:ilvl w:val="0"/>
          <w:numId w:val="3"/>
        </w:numPr>
        <w:ind w:left="1701" w:hanging="567"/>
        <w:jc w:val="both"/>
        <w:rPr>
          <w:sz w:val="23"/>
          <w:szCs w:val="23"/>
        </w:rPr>
      </w:pPr>
      <w:r w:rsidRPr="00C7298E">
        <w:rPr>
          <w:sz w:val="23"/>
          <w:szCs w:val="23"/>
        </w:rPr>
        <w:t>Strategic.</w:t>
      </w:r>
    </w:p>
    <w:p w:rsidR="00A27375" w:rsidRPr="00C7298E" w:rsidRDefault="00A27375" w:rsidP="00A27375">
      <w:pPr>
        <w:pStyle w:val="NoSpacing"/>
        <w:jc w:val="both"/>
        <w:rPr>
          <w:sz w:val="23"/>
          <w:szCs w:val="23"/>
        </w:rPr>
      </w:pPr>
    </w:p>
    <w:p w:rsidR="00A27375" w:rsidRDefault="00A27375" w:rsidP="00A27375">
      <w:pPr>
        <w:pStyle w:val="NoSpacing"/>
        <w:tabs>
          <w:tab w:val="left" w:pos="0"/>
          <w:tab w:val="left" w:pos="1134"/>
        </w:tabs>
        <w:ind w:left="1134" w:hanging="567"/>
        <w:jc w:val="both"/>
        <w:rPr>
          <w:sz w:val="23"/>
          <w:szCs w:val="23"/>
        </w:rPr>
      </w:pPr>
      <w:r>
        <w:rPr>
          <w:sz w:val="23"/>
          <w:szCs w:val="23"/>
        </w:rPr>
        <w:t>5.6</w:t>
      </w:r>
      <w:r>
        <w:rPr>
          <w:sz w:val="23"/>
          <w:szCs w:val="23"/>
        </w:rPr>
        <w:tab/>
        <w:t>As always, there may also be a number of purely technical claims, i.e. simple claims that clarify existing provisions for both parties at no extra cost or loss.</w:t>
      </w:r>
    </w:p>
    <w:p w:rsidR="00A27375" w:rsidRPr="00EF4871" w:rsidRDefault="00A27375" w:rsidP="00EF4871">
      <w:pPr>
        <w:pStyle w:val="Heading1"/>
        <w:numPr>
          <w:ilvl w:val="0"/>
          <w:numId w:val="8"/>
        </w:numPr>
        <w:ind w:left="567" w:hanging="567"/>
        <w:rPr>
          <w:rFonts w:ascii="Arial Black" w:hAnsi="Arial Black"/>
          <w:color w:val="auto"/>
          <w:sz w:val="23"/>
          <w:szCs w:val="23"/>
        </w:rPr>
      </w:pPr>
      <w:bookmarkStart w:id="5" w:name="_Toc395179737"/>
      <w:r w:rsidRPr="00EF4871">
        <w:rPr>
          <w:rFonts w:ascii="Arial Black" w:hAnsi="Arial Black"/>
          <w:color w:val="auto"/>
          <w:sz w:val="23"/>
          <w:szCs w:val="23"/>
        </w:rPr>
        <w:lastRenderedPageBreak/>
        <w:t>The 2015 STCA claims process</w:t>
      </w:r>
      <w:bookmarkEnd w:id="5"/>
    </w:p>
    <w:p w:rsidR="00A27375" w:rsidRPr="007A3B8A" w:rsidRDefault="00A27375" w:rsidP="00A27375">
      <w:pPr>
        <w:pStyle w:val="NoSpacing"/>
      </w:pPr>
    </w:p>
    <w:p w:rsidR="00A27375" w:rsidRDefault="00A27375" w:rsidP="00A27375">
      <w:pPr>
        <w:pStyle w:val="PlainText"/>
        <w:tabs>
          <w:tab w:val="left" w:pos="1134"/>
        </w:tabs>
        <w:ind w:left="1134" w:hanging="567"/>
        <w:jc w:val="both"/>
        <w:rPr>
          <w:rFonts w:ascii="Arial" w:hAnsi="Arial" w:cs="Arial"/>
          <w:sz w:val="23"/>
          <w:szCs w:val="23"/>
        </w:rPr>
      </w:pPr>
      <w:r w:rsidRPr="007A3B8A">
        <w:rPr>
          <w:rFonts w:ascii="Arial" w:hAnsi="Arial" w:cs="Arial"/>
          <w:sz w:val="23"/>
          <w:szCs w:val="23"/>
        </w:rPr>
        <w:t>6.1</w:t>
      </w:r>
      <w:r>
        <w:rPr>
          <w:rFonts w:ascii="Arial" w:hAnsi="Arial" w:cs="Arial"/>
          <w:sz w:val="23"/>
          <w:szCs w:val="23"/>
        </w:rPr>
        <w:tab/>
        <w:t>It is proposed</w:t>
      </w:r>
      <w:r w:rsidRPr="009A227E">
        <w:rPr>
          <w:rFonts w:ascii="Arial" w:hAnsi="Arial" w:cs="Arial"/>
          <w:sz w:val="23"/>
          <w:szCs w:val="23"/>
        </w:rPr>
        <w:t xml:space="preserve"> </w:t>
      </w:r>
      <w:r>
        <w:rPr>
          <w:rFonts w:ascii="Arial" w:hAnsi="Arial" w:cs="Arial"/>
          <w:sz w:val="23"/>
          <w:szCs w:val="23"/>
        </w:rPr>
        <w:t xml:space="preserve">that, should this paper be endorsed by conference, a claim be drawn up </w:t>
      </w:r>
      <w:r w:rsidR="00E524D6">
        <w:rPr>
          <w:rFonts w:ascii="Arial" w:hAnsi="Arial" w:cs="Arial"/>
          <w:sz w:val="23"/>
          <w:szCs w:val="23"/>
        </w:rPr>
        <w:t xml:space="preserve">quantifying </w:t>
      </w:r>
      <w:r>
        <w:rPr>
          <w:rFonts w:ascii="Arial" w:hAnsi="Arial" w:cs="Arial"/>
          <w:sz w:val="23"/>
          <w:szCs w:val="23"/>
        </w:rPr>
        <w:t xml:space="preserve">the salary and </w:t>
      </w:r>
      <w:r w:rsidR="00EA2A40">
        <w:rPr>
          <w:rFonts w:ascii="Arial" w:hAnsi="Arial" w:cs="Arial"/>
          <w:sz w:val="23"/>
          <w:szCs w:val="23"/>
        </w:rPr>
        <w:t xml:space="preserve">part-time </w:t>
      </w:r>
      <w:r>
        <w:rPr>
          <w:rFonts w:ascii="Arial" w:hAnsi="Arial" w:cs="Arial"/>
          <w:sz w:val="23"/>
          <w:szCs w:val="23"/>
        </w:rPr>
        <w:t>non-contact claim and seeking input from branches as to the other three conditions claims.</w:t>
      </w:r>
    </w:p>
    <w:p w:rsidR="00A27375" w:rsidRDefault="00A27375" w:rsidP="00A27375">
      <w:pPr>
        <w:pStyle w:val="PlainText"/>
        <w:tabs>
          <w:tab w:val="left" w:pos="1134"/>
        </w:tabs>
        <w:ind w:left="1134" w:hanging="567"/>
        <w:jc w:val="both"/>
        <w:rPr>
          <w:rFonts w:ascii="Arial" w:hAnsi="Arial" w:cs="Arial"/>
          <w:sz w:val="23"/>
          <w:szCs w:val="23"/>
        </w:rPr>
      </w:pPr>
    </w:p>
    <w:p w:rsidR="00A27375" w:rsidRDefault="00A27375" w:rsidP="00A27375">
      <w:pPr>
        <w:pStyle w:val="PlainText"/>
        <w:tabs>
          <w:tab w:val="left" w:pos="1134"/>
        </w:tabs>
        <w:ind w:left="1134" w:hanging="567"/>
        <w:jc w:val="both"/>
        <w:rPr>
          <w:rFonts w:ascii="Arial" w:hAnsi="Arial" w:cs="Arial"/>
          <w:sz w:val="23"/>
          <w:szCs w:val="23"/>
        </w:rPr>
      </w:pPr>
      <w:r>
        <w:rPr>
          <w:rFonts w:ascii="Arial" w:hAnsi="Arial" w:cs="Arial"/>
          <w:sz w:val="23"/>
          <w:szCs w:val="23"/>
        </w:rPr>
        <w:t>6.2</w:t>
      </w:r>
      <w:r>
        <w:rPr>
          <w:rFonts w:ascii="Arial" w:hAnsi="Arial" w:cs="Arial"/>
          <w:sz w:val="23"/>
          <w:szCs w:val="23"/>
        </w:rPr>
        <w:tab/>
        <w:t>Branches will be asked to meet in the fourth term to endorse such a claim and to agree on their top ‘other’ conditions claims, which will be forwarded to National Office.</w:t>
      </w:r>
    </w:p>
    <w:p w:rsidR="00A27375" w:rsidRDefault="00A27375" w:rsidP="00A27375">
      <w:pPr>
        <w:pStyle w:val="PlainText"/>
        <w:tabs>
          <w:tab w:val="left" w:pos="1134"/>
        </w:tabs>
        <w:ind w:left="1134" w:hanging="567"/>
        <w:jc w:val="both"/>
        <w:rPr>
          <w:rFonts w:ascii="Arial" w:hAnsi="Arial" w:cs="Arial"/>
          <w:sz w:val="23"/>
          <w:szCs w:val="23"/>
        </w:rPr>
      </w:pPr>
    </w:p>
    <w:p w:rsidR="00A27375" w:rsidRDefault="00A27375" w:rsidP="00A27375">
      <w:pPr>
        <w:pStyle w:val="PlainText"/>
        <w:tabs>
          <w:tab w:val="left" w:pos="1134"/>
        </w:tabs>
        <w:ind w:left="1134" w:hanging="567"/>
        <w:jc w:val="both"/>
        <w:rPr>
          <w:rFonts w:ascii="Arial" w:hAnsi="Arial" w:cs="Arial"/>
          <w:sz w:val="23"/>
          <w:szCs w:val="23"/>
        </w:rPr>
      </w:pPr>
      <w:r>
        <w:rPr>
          <w:rFonts w:ascii="Arial" w:hAnsi="Arial" w:cs="Arial"/>
          <w:sz w:val="23"/>
          <w:szCs w:val="23"/>
        </w:rPr>
        <w:t>6.3</w:t>
      </w:r>
      <w:r>
        <w:rPr>
          <w:rFonts w:ascii="Arial" w:hAnsi="Arial" w:cs="Arial"/>
          <w:sz w:val="23"/>
          <w:szCs w:val="23"/>
        </w:rPr>
        <w:tab/>
        <w:t>The full claim will then be sent back to branches in the first term next year asking branches for final endorsement and the claim can then be lodged with the employers when bargaining is initiated on 1 May 2015.</w:t>
      </w:r>
    </w:p>
    <w:p w:rsidR="00A27375" w:rsidRPr="00EF4871" w:rsidRDefault="00A27375" w:rsidP="00EF4871">
      <w:pPr>
        <w:pStyle w:val="Heading1"/>
        <w:numPr>
          <w:ilvl w:val="0"/>
          <w:numId w:val="8"/>
        </w:numPr>
        <w:ind w:left="567" w:hanging="567"/>
        <w:rPr>
          <w:rFonts w:ascii="Arial Black" w:hAnsi="Arial Black"/>
          <w:color w:val="auto"/>
          <w:sz w:val="23"/>
          <w:szCs w:val="23"/>
        </w:rPr>
      </w:pPr>
      <w:bookmarkStart w:id="6" w:name="_Toc395179738"/>
      <w:r w:rsidRPr="00EF4871">
        <w:rPr>
          <w:rFonts w:ascii="Arial Black" w:hAnsi="Arial Black"/>
          <w:color w:val="auto"/>
          <w:sz w:val="23"/>
          <w:szCs w:val="23"/>
        </w:rPr>
        <w:t>Planning for an industrial campaign</w:t>
      </w:r>
      <w:bookmarkEnd w:id="6"/>
    </w:p>
    <w:p w:rsidR="00A27375" w:rsidRPr="00B575EC" w:rsidRDefault="00A27375" w:rsidP="00A27375">
      <w:pPr>
        <w:pStyle w:val="PlainText"/>
        <w:tabs>
          <w:tab w:val="left" w:pos="1134"/>
        </w:tabs>
        <w:jc w:val="both"/>
        <w:rPr>
          <w:rFonts w:ascii="Arial" w:hAnsi="Arial" w:cs="Arial"/>
          <w:sz w:val="23"/>
          <w:szCs w:val="23"/>
        </w:rPr>
      </w:pPr>
    </w:p>
    <w:p w:rsidR="00A27375" w:rsidRDefault="00B71440" w:rsidP="00A27375">
      <w:pPr>
        <w:pStyle w:val="PlainText"/>
        <w:tabs>
          <w:tab w:val="left" w:pos="1134"/>
        </w:tabs>
        <w:ind w:left="1127" w:hanging="560"/>
        <w:jc w:val="both"/>
        <w:rPr>
          <w:rFonts w:ascii="Arial" w:hAnsi="Arial" w:cs="Arial"/>
          <w:sz w:val="23"/>
          <w:szCs w:val="23"/>
        </w:rPr>
      </w:pPr>
      <w:r>
        <w:rPr>
          <w:rFonts w:ascii="Arial" w:hAnsi="Arial" w:cs="Arial"/>
          <w:sz w:val="23"/>
          <w:szCs w:val="23"/>
        </w:rPr>
        <w:t>7.1</w:t>
      </w:r>
      <w:r w:rsidR="00A27375">
        <w:rPr>
          <w:rFonts w:ascii="Arial" w:hAnsi="Arial" w:cs="Arial"/>
          <w:sz w:val="23"/>
          <w:szCs w:val="23"/>
        </w:rPr>
        <w:tab/>
        <w:t>Neither a left nor a right led government will be disposed to meet a substantial pay claim, no matter how silver-</w:t>
      </w:r>
      <w:r w:rsidR="00EB6417">
        <w:rPr>
          <w:rFonts w:ascii="Arial" w:hAnsi="Arial" w:cs="Arial"/>
          <w:sz w:val="23"/>
          <w:szCs w:val="23"/>
        </w:rPr>
        <w:t>tong</w:t>
      </w:r>
      <w:r w:rsidR="00E524D6">
        <w:rPr>
          <w:rFonts w:ascii="Arial" w:hAnsi="Arial" w:cs="Arial"/>
          <w:sz w:val="23"/>
          <w:szCs w:val="23"/>
        </w:rPr>
        <w:t>u</w:t>
      </w:r>
      <w:r w:rsidR="00EB6417">
        <w:rPr>
          <w:rFonts w:ascii="Arial" w:hAnsi="Arial" w:cs="Arial"/>
          <w:sz w:val="23"/>
          <w:szCs w:val="23"/>
        </w:rPr>
        <w:t>ed</w:t>
      </w:r>
      <w:r w:rsidR="00A27375">
        <w:rPr>
          <w:rFonts w:ascii="Arial" w:hAnsi="Arial" w:cs="Arial"/>
          <w:sz w:val="23"/>
          <w:szCs w:val="23"/>
        </w:rPr>
        <w:t xml:space="preserve"> and persuasive our advocates and bargaining teams are. </w:t>
      </w:r>
      <w:r>
        <w:rPr>
          <w:rFonts w:ascii="Arial" w:hAnsi="Arial" w:cs="Arial"/>
          <w:sz w:val="23"/>
          <w:szCs w:val="23"/>
        </w:rPr>
        <w:t xml:space="preserve"> </w:t>
      </w:r>
      <w:r w:rsidR="00A27375">
        <w:rPr>
          <w:rFonts w:ascii="Arial" w:hAnsi="Arial" w:cs="Arial"/>
          <w:sz w:val="23"/>
          <w:szCs w:val="23"/>
        </w:rPr>
        <w:t xml:space="preserve">However, should we be bargaining under a National-led government, it is almost certain that the new provisions of the current Employment Relations </w:t>
      </w:r>
      <w:r w:rsidR="00E524D6">
        <w:rPr>
          <w:rFonts w:ascii="Arial" w:hAnsi="Arial" w:cs="Arial"/>
          <w:sz w:val="23"/>
          <w:szCs w:val="23"/>
        </w:rPr>
        <w:t xml:space="preserve">Amendment </w:t>
      </w:r>
      <w:r w:rsidR="00A27375">
        <w:rPr>
          <w:rFonts w:ascii="Arial" w:hAnsi="Arial" w:cs="Arial"/>
          <w:sz w:val="23"/>
          <w:szCs w:val="23"/>
        </w:rPr>
        <w:t xml:space="preserve">Bill will be in </w:t>
      </w:r>
      <w:proofErr w:type="gramStart"/>
      <w:r w:rsidR="00A27375">
        <w:rPr>
          <w:rFonts w:ascii="Arial" w:hAnsi="Arial" w:cs="Arial"/>
          <w:sz w:val="23"/>
          <w:szCs w:val="23"/>
        </w:rPr>
        <w:t>place.</w:t>
      </w:r>
      <w:proofErr w:type="gramEnd"/>
      <w:r w:rsidR="00A27375">
        <w:rPr>
          <w:rFonts w:ascii="Arial" w:hAnsi="Arial" w:cs="Arial"/>
          <w:sz w:val="23"/>
          <w:szCs w:val="23"/>
        </w:rPr>
        <w:t xml:space="preserve"> </w:t>
      </w:r>
      <w:r>
        <w:rPr>
          <w:rFonts w:ascii="Arial" w:hAnsi="Arial" w:cs="Arial"/>
          <w:sz w:val="23"/>
          <w:szCs w:val="23"/>
        </w:rPr>
        <w:t xml:space="preserve"> </w:t>
      </w:r>
      <w:r w:rsidR="00A27375">
        <w:rPr>
          <w:rFonts w:ascii="Arial" w:hAnsi="Arial" w:cs="Arial"/>
          <w:sz w:val="23"/>
          <w:szCs w:val="23"/>
        </w:rPr>
        <w:t>This means we need to be preparing now.</w:t>
      </w:r>
    </w:p>
    <w:p w:rsidR="00A27375" w:rsidRDefault="00A27375" w:rsidP="00A27375">
      <w:pPr>
        <w:pStyle w:val="PlainText"/>
        <w:tabs>
          <w:tab w:val="left" w:pos="1134"/>
        </w:tabs>
        <w:ind w:left="1127" w:hanging="560"/>
        <w:jc w:val="both"/>
        <w:rPr>
          <w:rFonts w:ascii="Arial" w:hAnsi="Arial" w:cs="Arial"/>
          <w:sz w:val="23"/>
          <w:szCs w:val="23"/>
        </w:rPr>
      </w:pPr>
    </w:p>
    <w:p w:rsidR="00A27375" w:rsidRDefault="00A27375" w:rsidP="00A27375">
      <w:pPr>
        <w:pStyle w:val="PlainText"/>
        <w:tabs>
          <w:tab w:val="left" w:pos="1134"/>
        </w:tabs>
        <w:ind w:left="1127" w:hanging="560"/>
        <w:jc w:val="both"/>
        <w:rPr>
          <w:rFonts w:ascii="Arial" w:hAnsi="Arial" w:cs="Arial"/>
          <w:sz w:val="23"/>
          <w:szCs w:val="23"/>
        </w:rPr>
      </w:pPr>
      <w:r>
        <w:rPr>
          <w:rFonts w:ascii="Arial" w:hAnsi="Arial" w:cs="Arial"/>
          <w:sz w:val="23"/>
          <w:szCs w:val="23"/>
        </w:rPr>
        <w:t>7.2</w:t>
      </w:r>
      <w:r>
        <w:rPr>
          <w:rFonts w:ascii="Arial" w:hAnsi="Arial" w:cs="Arial"/>
          <w:sz w:val="23"/>
          <w:szCs w:val="23"/>
        </w:rPr>
        <w:tab/>
        <w:t xml:space="preserve">Planning for any major industrial campaign needs to begin long before the campaign itself, at least in terms of preparing members, branches, regions and the national body for any potential financial costs involved. </w:t>
      </w:r>
      <w:r w:rsidR="00B71440">
        <w:rPr>
          <w:rFonts w:ascii="Arial" w:hAnsi="Arial" w:cs="Arial"/>
          <w:sz w:val="23"/>
          <w:szCs w:val="23"/>
        </w:rPr>
        <w:t xml:space="preserve"> </w:t>
      </w:r>
      <w:r>
        <w:rPr>
          <w:rFonts w:ascii="Arial" w:hAnsi="Arial" w:cs="Arial"/>
          <w:sz w:val="23"/>
          <w:szCs w:val="23"/>
        </w:rPr>
        <w:t>It is now many years since members have taken industrial action which has cost them actual pay</w:t>
      </w:r>
      <w:r w:rsidR="00E524D6">
        <w:rPr>
          <w:rFonts w:ascii="Arial" w:hAnsi="Arial" w:cs="Arial"/>
          <w:sz w:val="23"/>
          <w:szCs w:val="23"/>
        </w:rPr>
        <w:t>,</w:t>
      </w:r>
      <w:r>
        <w:rPr>
          <w:rFonts w:ascii="Arial" w:hAnsi="Arial" w:cs="Arial"/>
          <w:sz w:val="23"/>
          <w:szCs w:val="23"/>
        </w:rPr>
        <w:t xml:space="preserve"> and members, especially those with one income and young families, will find losing pay very difficult. </w:t>
      </w:r>
      <w:r w:rsidR="00B71440">
        <w:rPr>
          <w:rFonts w:ascii="Arial" w:hAnsi="Arial" w:cs="Arial"/>
          <w:sz w:val="23"/>
          <w:szCs w:val="23"/>
        </w:rPr>
        <w:t xml:space="preserve"> </w:t>
      </w:r>
      <w:r>
        <w:rPr>
          <w:rFonts w:ascii="Arial" w:hAnsi="Arial" w:cs="Arial"/>
          <w:sz w:val="23"/>
          <w:szCs w:val="23"/>
        </w:rPr>
        <w:t xml:space="preserve">The union already has a good resource on how members can prepare financially for long periods of action which may result in the loss of salary. </w:t>
      </w:r>
      <w:r w:rsidR="00B71440">
        <w:rPr>
          <w:rFonts w:ascii="Arial" w:hAnsi="Arial" w:cs="Arial"/>
          <w:sz w:val="23"/>
          <w:szCs w:val="23"/>
        </w:rPr>
        <w:t xml:space="preserve"> </w:t>
      </w:r>
      <w:r>
        <w:rPr>
          <w:rFonts w:ascii="Arial" w:hAnsi="Arial" w:cs="Arial"/>
          <w:sz w:val="23"/>
          <w:szCs w:val="23"/>
        </w:rPr>
        <w:t>This can be reissued so that members are advised how and when to take these precautions.</w:t>
      </w:r>
    </w:p>
    <w:p w:rsidR="00A27375" w:rsidRDefault="00A27375" w:rsidP="00A27375">
      <w:pPr>
        <w:pStyle w:val="PlainText"/>
        <w:tabs>
          <w:tab w:val="left" w:pos="1134"/>
        </w:tabs>
        <w:ind w:left="1127" w:hanging="560"/>
        <w:jc w:val="both"/>
        <w:rPr>
          <w:rFonts w:ascii="Arial" w:hAnsi="Arial" w:cs="Arial"/>
          <w:sz w:val="23"/>
          <w:szCs w:val="23"/>
        </w:rPr>
      </w:pPr>
    </w:p>
    <w:p w:rsidR="00A27375" w:rsidRDefault="00A27375" w:rsidP="00B71440">
      <w:pPr>
        <w:pStyle w:val="PlainText"/>
        <w:tabs>
          <w:tab w:val="left" w:pos="1134"/>
        </w:tabs>
        <w:ind w:left="1127" w:hanging="560"/>
        <w:jc w:val="both"/>
        <w:rPr>
          <w:rFonts w:ascii="Arial" w:hAnsi="Arial" w:cs="Arial"/>
          <w:sz w:val="23"/>
          <w:szCs w:val="23"/>
        </w:rPr>
      </w:pPr>
      <w:r>
        <w:rPr>
          <w:rFonts w:ascii="Arial" w:hAnsi="Arial" w:cs="Arial"/>
          <w:sz w:val="23"/>
          <w:szCs w:val="23"/>
        </w:rPr>
        <w:t>7.3</w:t>
      </w:r>
      <w:r>
        <w:rPr>
          <w:rFonts w:ascii="Arial" w:hAnsi="Arial" w:cs="Arial"/>
          <w:sz w:val="23"/>
          <w:szCs w:val="23"/>
        </w:rPr>
        <w:tab/>
        <w:t>There is also a need to prepare the ground work for a campaign so that the general public as well as members understand the reasoning behind it before negotiations begin</w:t>
      </w:r>
      <w:r w:rsidRPr="00B71440">
        <w:rPr>
          <w:rFonts w:ascii="Arial" w:hAnsi="Arial" w:cs="Arial"/>
          <w:sz w:val="23"/>
          <w:szCs w:val="23"/>
        </w:rPr>
        <w:t>.</w:t>
      </w:r>
    </w:p>
    <w:p w:rsidR="00A27375" w:rsidRPr="00EF4871" w:rsidRDefault="00A27375" w:rsidP="00EF4871">
      <w:pPr>
        <w:pStyle w:val="Heading1"/>
        <w:numPr>
          <w:ilvl w:val="0"/>
          <w:numId w:val="8"/>
        </w:numPr>
        <w:ind w:left="567" w:hanging="567"/>
        <w:rPr>
          <w:rFonts w:ascii="Arial Black" w:hAnsi="Arial Black"/>
          <w:color w:val="auto"/>
          <w:sz w:val="23"/>
          <w:szCs w:val="23"/>
        </w:rPr>
      </w:pPr>
      <w:bookmarkStart w:id="7" w:name="_Toc395179739"/>
      <w:r w:rsidRPr="00EF4871">
        <w:rPr>
          <w:rFonts w:ascii="Arial Black" w:hAnsi="Arial Black"/>
          <w:color w:val="auto"/>
          <w:sz w:val="23"/>
          <w:szCs w:val="23"/>
        </w:rPr>
        <w:t>Implications for area school bargaining</w:t>
      </w:r>
      <w:bookmarkEnd w:id="7"/>
    </w:p>
    <w:p w:rsidR="00A27375" w:rsidRPr="00B575EC" w:rsidRDefault="00A27375" w:rsidP="00A27375">
      <w:pPr>
        <w:pStyle w:val="PlainText"/>
        <w:tabs>
          <w:tab w:val="left" w:pos="1134"/>
        </w:tabs>
        <w:jc w:val="both"/>
        <w:rPr>
          <w:rFonts w:ascii="Arial" w:hAnsi="Arial" w:cs="Arial"/>
          <w:sz w:val="23"/>
          <w:szCs w:val="23"/>
        </w:rPr>
      </w:pPr>
    </w:p>
    <w:p w:rsidR="00A27375" w:rsidRDefault="00A27375" w:rsidP="00A27375">
      <w:pPr>
        <w:pStyle w:val="PlainText"/>
        <w:tabs>
          <w:tab w:val="left" w:pos="1134"/>
        </w:tabs>
        <w:ind w:left="1127" w:hanging="560"/>
        <w:jc w:val="both"/>
        <w:rPr>
          <w:rFonts w:ascii="Arial" w:hAnsi="Arial" w:cs="Arial"/>
          <w:sz w:val="23"/>
          <w:szCs w:val="23"/>
        </w:rPr>
      </w:pPr>
      <w:r>
        <w:rPr>
          <w:rFonts w:ascii="Arial" w:hAnsi="Arial" w:cs="Arial"/>
          <w:sz w:val="23"/>
          <w:szCs w:val="23"/>
        </w:rPr>
        <w:t>8.1</w:t>
      </w:r>
      <w:r>
        <w:rPr>
          <w:rFonts w:ascii="Arial" w:hAnsi="Arial" w:cs="Arial"/>
          <w:sz w:val="23"/>
          <w:szCs w:val="23"/>
        </w:rPr>
        <w:tab/>
        <w:t xml:space="preserve">The area school collective agreements, both for teachers (ASTCA) and for principals (ASPCA) expire on 3 November 2015 and 1 June 2016 respectively. </w:t>
      </w:r>
      <w:r w:rsidR="008F4A7C">
        <w:rPr>
          <w:rFonts w:ascii="Arial" w:hAnsi="Arial" w:cs="Arial"/>
          <w:sz w:val="23"/>
          <w:szCs w:val="23"/>
        </w:rPr>
        <w:t xml:space="preserve"> </w:t>
      </w:r>
      <w:r>
        <w:rPr>
          <w:rFonts w:ascii="Arial" w:hAnsi="Arial" w:cs="Arial"/>
          <w:sz w:val="23"/>
          <w:szCs w:val="23"/>
        </w:rPr>
        <w:t>However, the primary teachers’ collective (PTCA) does not expire until 21 December 2015</w:t>
      </w:r>
      <w:r w:rsidR="00E524D6">
        <w:rPr>
          <w:rFonts w:ascii="Arial" w:hAnsi="Arial" w:cs="Arial"/>
          <w:sz w:val="23"/>
          <w:szCs w:val="23"/>
        </w:rPr>
        <w:t>,</w:t>
      </w:r>
      <w:r>
        <w:rPr>
          <w:rFonts w:ascii="Arial" w:hAnsi="Arial" w:cs="Arial"/>
          <w:sz w:val="23"/>
          <w:szCs w:val="23"/>
        </w:rPr>
        <w:t xml:space="preserve"> so bargaining for area school te</w:t>
      </w:r>
      <w:r w:rsidR="008F4A7C">
        <w:rPr>
          <w:rFonts w:ascii="Arial" w:hAnsi="Arial" w:cs="Arial"/>
          <w:sz w:val="23"/>
          <w:szCs w:val="23"/>
        </w:rPr>
        <w:t>achers cannot begin until 2016.</w:t>
      </w:r>
    </w:p>
    <w:p w:rsidR="00A27375" w:rsidRDefault="00A27375" w:rsidP="00A27375">
      <w:pPr>
        <w:pStyle w:val="PlainText"/>
        <w:tabs>
          <w:tab w:val="left" w:pos="1134"/>
        </w:tabs>
        <w:ind w:left="1127" w:hanging="560"/>
        <w:jc w:val="both"/>
        <w:rPr>
          <w:rFonts w:ascii="Arial" w:hAnsi="Arial" w:cs="Arial"/>
          <w:sz w:val="23"/>
          <w:szCs w:val="23"/>
        </w:rPr>
      </w:pPr>
    </w:p>
    <w:p w:rsidR="00A27375" w:rsidRDefault="00A27375" w:rsidP="00A27375">
      <w:pPr>
        <w:pStyle w:val="PlainText"/>
        <w:tabs>
          <w:tab w:val="left" w:pos="1134"/>
        </w:tabs>
        <w:ind w:left="1127" w:hanging="560"/>
        <w:jc w:val="both"/>
        <w:rPr>
          <w:rFonts w:ascii="Arial" w:hAnsi="Arial" w:cs="Arial"/>
          <w:sz w:val="23"/>
          <w:szCs w:val="23"/>
        </w:rPr>
      </w:pPr>
      <w:r>
        <w:rPr>
          <w:rFonts w:ascii="Arial" w:hAnsi="Arial" w:cs="Arial"/>
          <w:sz w:val="23"/>
          <w:szCs w:val="23"/>
        </w:rPr>
        <w:lastRenderedPageBreak/>
        <w:t>8.2</w:t>
      </w:r>
      <w:r>
        <w:rPr>
          <w:rFonts w:ascii="Arial" w:hAnsi="Arial" w:cs="Arial"/>
          <w:sz w:val="23"/>
          <w:szCs w:val="23"/>
        </w:rPr>
        <w:tab/>
        <w:t>Similarly, the area school principals’ agreement (ASPCA) will have to wait unti</w:t>
      </w:r>
      <w:r w:rsidR="004F059C">
        <w:rPr>
          <w:rFonts w:ascii="Arial" w:hAnsi="Arial" w:cs="Arial"/>
          <w:sz w:val="23"/>
          <w:szCs w:val="23"/>
        </w:rPr>
        <w:t xml:space="preserve">l both major </w:t>
      </w:r>
      <w:r>
        <w:rPr>
          <w:rFonts w:ascii="Arial" w:hAnsi="Arial" w:cs="Arial"/>
          <w:sz w:val="23"/>
          <w:szCs w:val="23"/>
        </w:rPr>
        <w:t>agreements</w:t>
      </w:r>
      <w:r w:rsidR="004F059C">
        <w:rPr>
          <w:rFonts w:ascii="Arial" w:hAnsi="Arial" w:cs="Arial"/>
          <w:sz w:val="23"/>
          <w:szCs w:val="23"/>
        </w:rPr>
        <w:t xml:space="preserve"> for principals</w:t>
      </w:r>
      <w:r>
        <w:rPr>
          <w:rFonts w:ascii="Arial" w:hAnsi="Arial" w:cs="Arial"/>
          <w:sz w:val="23"/>
          <w:szCs w:val="23"/>
        </w:rPr>
        <w:t xml:space="preserve"> have also expired (primary in November 2015 and secondary in March 2016).</w:t>
      </w:r>
    </w:p>
    <w:p w:rsidR="00A27375" w:rsidRDefault="00A27375" w:rsidP="00A27375">
      <w:pPr>
        <w:pStyle w:val="PlainText"/>
        <w:tabs>
          <w:tab w:val="left" w:pos="1134"/>
        </w:tabs>
        <w:ind w:left="1127" w:hanging="560"/>
        <w:jc w:val="both"/>
        <w:rPr>
          <w:rFonts w:ascii="Arial" w:hAnsi="Arial" w:cs="Arial"/>
          <w:sz w:val="23"/>
          <w:szCs w:val="23"/>
        </w:rPr>
      </w:pPr>
    </w:p>
    <w:p w:rsidR="00A27375" w:rsidRDefault="00A27375" w:rsidP="00A27375">
      <w:pPr>
        <w:pStyle w:val="PlainText"/>
        <w:tabs>
          <w:tab w:val="left" w:pos="1134"/>
        </w:tabs>
        <w:ind w:left="1127" w:hanging="560"/>
        <w:jc w:val="both"/>
        <w:rPr>
          <w:rFonts w:ascii="Arial" w:hAnsi="Arial" w:cs="Arial"/>
          <w:sz w:val="23"/>
          <w:szCs w:val="23"/>
        </w:rPr>
      </w:pPr>
      <w:r>
        <w:rPr>
          <w:rFonts w:ascii="Arial" w:hAnsi="Arial" w:cs="Arial"/>
          <w:sz w:val="23"/>
          <w:szCs w:val="23"/>
        </w:rPr>
        <w:t>8.3</w:t>
      </w:r>
      <w:r>
        <w:rPr>
          <w:rFonts w:ascii="Arial" w:hAnsi="Arial" w:cs="Arial"/>
          <w:sz w:val="23"/>
          <w:szCs w:val="23"/>
        </w:rPr>
        <w:tab/>
        <w:t xml:space="preserve">Waiting until the major agreements are, if not settled, at least in progress and with agreed claims, is a continued frustration for our area school members. </w:t>
      </w:r>
      <w:r w:rsidR="008F4A7C">
        <w:rPr>
          <w:rFonts w:ascii="Arial" w:hAnsi="Arial" w:cs="Arial"/>
          <w:sz w:val="23"/>
          <w:szCs w:val="23"/>
        </w:rPr>
        <w:t xml:space="preserve"> </w:t>
      </w:r>
      <w:r>
        <w:rPr>
          <w:rFonts w:ascii="Arial" w:hAnsi="Arial" w:cs="Arial"/>
          <w:sz w:val="23"/>
          <w:szCs w:val="23"/>
        </w:rPr>
        <w:t>However, both area school agreements are too small (i.e. do not have enough members to provide the necessary ‘industrial muscle’) to be lead agreements. In the past, although composite and area school members have had to wait for later negotiations and settlements (and with no back pay for the last two settlements under the National-led government)</w:t>
      </w:r>
      <w:r w:rsidR="00E524D6">
        <w:rPr>
          <w:rFonts w:ascii="Arial" w:hAnsi="Arial" w:cs="Arial"/>
          <w:sz w:val="23"/>
          <w:szCs w:val="23"/>
        </w:rPr>
        <w:t>,</w:t>
      </w:r>
      <w:r>
        <w:rPr>
          <w:rFonts w:ascii="Arial" w:hAnsi="Arial" w:cs="Arial"/>
          <w:sz w:val="23"/>
          <w:szCs w:val="23"/>
        </w:rPr>
        <w:t xml:space="preserve"> they have arguabl</w:t>
      </w:r>
      <w:r w:rsidR="00E524D6">
        <w:rPr>
          <w:rFonts w:ascii="Arial" w:hAnsi="Arial" w:cs="Arial"/>
          <w:sz w:val="23"/>
          <w:szCs w:val="23"/>
        </w:rPr>
        <w:t>y</w:t>
      </w:r>
      <w:r>
        <w:rPr>
          <w:rFonts w:ascii="Arial" w:hAnsi="Arial" w:cs="Arial"/>
          <w:sz w:val="23"/>
          <w:szCs w:val="23"/>
        </w:rPr>
        <w:t xml:space="preserve"> obtained overall better settlements by aiming for the ‘best of both’ improvements made in the larger CA settlements.</w:t>
      </w:r>
    </w:p>
    <w:p w:rsidR="00A27375" w:rsidRDefault="00A27375" w:rsidP="00A27375">
      <w:pPr>
        <w:pStyle w:val="PlainText"/>
        <w:tabs>
          <w:tab w:val="left" w:pos="1134"/>
        </w:tabs>
        <w:ind w:left="1127" w:hanging="560"/>
        <w:jc w:val="both"/>
        <w:rPr>
          <w:rFonts w:ascii="Arial" w:hAnsi="Arial" w:cs="Arial"/>
          <w:sz w:val="23"/>
          <w:szCs w:val="23"/>
        </w:rPr>
      </w:pPr>
    </w:p>
    <w:p w:rsidR="00A27375" w:rsidRPr="00C57F08" w:rsidRDefault="00A27375" w:rsidP="00A27375">
      <w:pPr>
        <w:pStyle w:val="PlainText"/>
        <w:tabs>
          <w:tab w:val="left" w:pos="1134"/>
        </w:tabs>
        <w:ind w:left="1127" w:hanging="560"/>
        <w:jc w:val="both"/>
        <w:rPr>
          <w:rFonts w:ascii="Arial" w:hAnsi="Arial" w:cs="Arial"/>
          <w:sz w:val="23"/>
          <w:szCs w:val="23"/>
        </w:rPr>
      </w:pPr>
      <w:r>
        <w:rPr>
          <w:rFonts w:ascii="Arial" w:hAnsi="Arial" w:cs="Arial"/>
          <w:sz w:val="23"/>
          <w:szCs w:val="23"/>
        </w:rPr>
        <w:t>8.4</w:t>
      </w:r>
      <w:r>
        <w:rPr>
          <w:rFonts w:ascii="Arial" w:hAnsi="Arial" w:cs="Arial"/>
          <w:sz w:val="23"/>
          <w:szCs w:val="23"/>
        </w:rPr>
        <w:tab/>
        <w:t>There is</w:t>
      </w:r>
      <w:r w:rsidR="00E524D6">
        <w:rPr>
          <w:rFonts w:ascii="Arial" w:hAnsi="Arial" w:cs="Arial"/>
          <w:sz w:val="23"/>
          <w:szCs w:val="23"/>
        </w:rPr>
        <w:t>,</w:t>
      </w:r>
      <w:r>
        <w:rPr>
          <w:rFonts w:ascii="Arial" w:hAnsi="Arial" w:cs="Arial"/>
          <w:sz w:val="23"/>
          <w:szCs w:val="23"/>
        </w:rPr>
        <w:t xml:space="preserve"> however, no reason why our area school members should not have the same ability to engage in and inform the major secondary agreement claim. </w:t>
      </w:r>
      <w:r w:rsidR="008F4A7C">
        <w:rPr>
          <w:rFonts w:ascii="Arial" w:hAnsi="Arial" w:cs="Arial"/>
          <w:sz w:val="23"/>
          <w:szCs w:val="23"/>
        </w:rPr>
        <w:t xml:space="preserve"> </w:t>
      </w:r>
      <w:r>
        <w:rPr>
          <w:rFonts w:ascii="Arial" w:hAnsi="Arial" w:cs="Arial"/>
          <w:sz w:val="23"/>
          <w:szCs w:val="23"/>
        </w:rPr>
        <w:t xml:space="preserve">We </w:t>
      </w:r>
      <w:r w:rsidR="00E524D6">
        <w:rPr>
          <w:rFonts w:ascii="Arial" w:hAnsi="Arial" w:cs="Arial"/>
          <w:sz w:val="23"/>
          <w:szCs w:val="23"/>
        </w:rPr>
        <w:t xml:space="preserve">therefore </w:t>
      </w:r>
      <w:r>
        <w:rPr>
          <w:rFonts w:ascii="Arial" w:hAnsi="Arial" w:cs="Arial"/>
          <w:sz w:val="23"/>
          <w:szCs w:val="23"/>
        </w:rPr>
        <w:t xml:space="preserve">intend to ask area school branches to meet and participate in suggesting the three additional conditions claims in the fourth term. </w:t>
      </w:r>
      <w:r w:rsidR="008F4A7C">
        <w:rPr>
          <w:rFonts w:ascii="Arial" w:hAnsi="Arial" w:cs="Arial"/>
          <w:sz w:val="23"/>
          <w:szCs w:val="23"/>
        </w:rPr>
        <w:t xml:space="preserve"> </w:t>
      </w:r>
      <w:r>
        <w:rPr>
          <w:rFonts w:ascii="Arial" w:hAnsi="Arial" w:cs="Arial"/>
          <w:sz w:val="23"/>
          <w:szCs w:val="23"/>
        </w:rPr>
        <w:t>This may or may not inform the final area school claim, depending on the success of the primary and secondary teacher claims, but it will</w:t>
      </w:r>
      <w:r w:rsidR="00EA2A40">
        <w:rPr>
          <w:rFonts w:ascii="Arial" w:hAnsi="Arial" w:cs="Arial"/>
          <w:sz w:val="23"/>
          <w:szCs w:val="23"/>
        </w:rPr>
        <w:t xml:space="preserve"> serve as useful preparation.</w:t>
      </w:r>
    </w:p>
    <w:p w:rsidR="00A27375" w:rsidRPr="00EF4871" w:rsidRDefault="00A27375" w:rsidP="00EF4871">
      <w:pPr>
        <w:pStyle w:val="Heading1"/>
        <w:numPr>
          <w:ilvl w:val="0"/>
          <w:numId w:val="8"/>
        </w:numPr>
        <w:ind w:left="567" w:hanging="567"/>
        <w:rPr>
          <w:rFonts w:ascii="Arial Black" w:hAnsi="Arial Black"/>
          <w:color w:val="auto"/>
          <w:sz w:val="23"/>
          <w:szCs w:val="23"/>
        </w:rPr>
      </w:pPr>
      <w:bookmarkStart w:id="8" w:name="_Toc395179740"/>
      <w:r w:rsidRPr="00EF4871">
        <w:rPr>
          <w:rFonts w:ascii="Arial Black" w:hAnsi="Arial Black"/>
          <w:color w:val="auto"/>
          <w:sz w:val="23"/>
          <w:szCs w:val="23"/>
        </w:rPr>
        <w:t>Conclusions</w:t>
      </w:r>
      <w:bookmarkEnd w:id="8"/>
    </w:p>
    <w:p w:rsidR="00A27375" w:rsidRPr="008F4A7C" w:rsidRDefault="00A27375" w:rsidP="00A27375">
      <w:pPr>
        <w:pStyle w:val="PlainText"/>
        <w:tabs>
          <w:tab w:val="left" w:pos="1134"/>
        </w:tabs>
        <w:jc w:val="both"/>
        <w:rPr>
          <w:rFonts w:ascii="Arial" w:hAnsi="Arial" w:cs="Arial"/>
          <w:sz w:val="23"/>
          <w:szCs w:val="23"/>
        </w:rPr>
      </w:pPr>
    </w:p>
    <w:p w:rsidR="00A27375" w:rsidRDefault="00A27375" w:rsidP="00A27375">
      <w:pPr>
        <w:pStyle w:val="PlainText"/>
        <w:tabs>
          <w:tab w:val="left" w:pos="567"/>
          <w:tab w:val="left" w:pos="1134"/>
        </w:tabs>
        <w:ind w:left="1127" w:hanging="560"/>
        <w:jc w:val="both"/>
        <w:rPr>
          <w:rFonts w:ascii="Arial" w:hAnsi="Arial" w:cs="Arial"/>
          <w:sz w:val="23"/>
          <w:szCs w:val="23"/>
        </w:rPr>
      </w:pPr>
      <w:r>
        <w:rPr>
          <w:rFonts w:ascii="Arial" w:hAnsi="Arial" w:cs="Arial"/>
          <w:sz w:val="23"/>
          <w:szCs w:val="23"/>
        </w:rPr>
        <w:t>9.1</w:t>
      </w:r>
      <w:r>
        <w:rPr>
          <w:rFonts w:ascii="Arial" w:hAnsi="Arial" w:cs="Arial"/>
          <w:sz w:val="23"/>
          <w:szCs w:val="23"/>
        </w:rPr>
        <w:tab/>
        <w:t xml:space="preserve">This paper is testing whether there is enough wide-spread support for the strategy and the framework of the claim proposed. </w:t>
      </w:r>
      <w:r w:rsidR="008F4A7C">
        <w:rPr>
          <w:rFonts w:ascii="Arial" w:hAnsi="Arial" w:cs="Arial"/>
          <w:sz w:val="23"/>
          <w:szCs w:val="23"/>
        </w:rPr>
        <w:t xml:space="preserve"> </w:t>
      </w:r>
      <w:r>
        <w:rPr>
          <w:rFonts w:ascii="Arial" w:hAnsi="Arial" w:cs="Arial"/>
          <w:sz w:val="23"/>
          <w:szCs w:val="23"/>
        </w:rPr>
        <w:t xml:space="preserve">Such a claim and strategy will rely on strong member support and we need to know whether that is there before we go ahead. </w:t>
      </w:r>
      <w:r w:rsidR="008F4A7C">
        <w:rPr>
          <w:rFonts w:ascii="Arial" w:hAnsi="Arial" w:cs="Arial"/>
          <w:sz w:val="23"/>
          <w:szCs w:val="23"/>
        </w:rPr>
        <w:t xml:space="preserve"> </w:t>
      </w:r>
      <w:r>
        <w:rPr>
          <w:rFonts w:ascii="Arial" w:hAnsi="Arial" w:cs="Arial"/>
          <w:sz w:val="23"/>
          <w:szCs w:val="23"/>
        </w:rPr>
        <w:t>Put simply, we need to be sure that</w:t>
      </w:r>
      <w:r w:rsidR="004A56AF">
        <w:rPr>
          <w:rFonts w:ascii="Arial" w:hAnsi="Arial" w:cs="Arial"/>
          <w:sz w:val="23"/>
          <w:szCs w:val="23"/>
        </w:rPr>
        <w:t>,</w:t>
      </w:r>
      <w:r>
        <w:rPr>
          <w:rFonts w:ascii="Arial" w:hAnsi="Arial" w:cs="Arial"/>
          <w:sz w:val="23"/>
          <w:szCs w:val="23"/>
        </w:rPr>
        <w:t xml:space="preserve"> if we lead this charge, there will be troops c</w:t>
      </w:r>
      <w:r w:rsidR="008F4A7C">
        <w:rPr>
          <w:rFonts w:ascii="Arial" w:hAnsi="Arial" w:cs="Arial"/>
          <w:sz w:val="23"/>
          <w:szCs w:val="23"/>
        </w:rPr>
        <w:t>oming over the hills behind us.</w:t>
      </w:r>
    </w:p>
    <w:p w:rsidR="00A27375" w:rsidRDefault="00A27375" w:rsidP="00A27375">
      <w:pPr>
        <w:pStyle w:val="PlainText"/>
        <w:tabs>
          <w:tab w:val="left" w:pos="567"/>
          <w:tab w:val="left" w:pos="1134"/>
        </w:tabs>
        <w:ind w:left="1127" w:hanging="560"/>
        <w:jc w:val="both"/>
        <w:rPr>
          <w:rFonts w:ascii="Arial" w:hAnsi="Arial" w:cs="Arial"/>
          <w:sz w:val="23"/>
          <w:szCs w:val="23"/>
        </w:rPr>
      </w:pPr>
    </w:p>
    <w:p w:rsidR="00A27375" w:rsidRPr="00581F15" w:rsidRDefault="00A27375" w:rsidP="00A27375">
      <w:pPr>
        <w:pStyle w:val="PlainText"/>
        <w:tabs>
          <w:tab w:val="left" w:pos="567"/>
          <w:tab w:val="left" w:pos="1134"/>
        </w:tabs>
        <w:ind w:left="1127" w:hanging="560"/>
        <w:jc w:val="both"/>
        <w:rPr>
          <w:rFonts w:ascii="Arial" w:hAnsi="Arial" w:cs="Arial"/>
          <w:sz w:val="23"/>
          <w:szCs w:val="23"/>
        </w:rPr>
      </w:pPr>
      <w:r>
        <w:rPr>
          <w:rFonts w:ascii="Arial" w:hAnsi="Arial" w:cs="Arial"/>
          <w:sz w:val="23"/>
          <w:szCs w:val="23"/>
        </w:rPr>
        <w:t>9.2</w:t>
      </w:r>
      <w:r>
        <w:rPr>
          <w:rFonts w:ascii="Arial" w:hAnsi="Arial" w:cs="Arial"/>
          <w:sz w:val="23"/>
          <w:szCs w:val="23"/>
        </w:rPr>
        <w:tab/>
        <w:t>Alternative strategies, should members not endorse this s</w:t>
      </w:r>
      <w:r w:rsidR="004F059C">
        <w:rPr>
          <w:rFonts w:ascii="Arial" w:hAnsi="Arial" w:cs="Arial"/>
          <w:sz w:val="23"/>
          <w:szCs w:val="23"/>
        </w:rPr>
        <w:t>trategy, could be to have a low</w:t>
      </w:r>
      <w:r>
        <w:rPr>
          <w:rFonts w:ascii="Arial" w:hAnsi="Arial" w:cs="Arial"/>
          <w:sz w:val="23"/>
          <w:szCs w:val="23"/>
        </w:rPr>
        <w:t>er salary claim with more conditions, which may be easier to present to the public, but is unlikely to be simple or less costly or easier to win, or to open the claim fully to members (which is likely to lead to a costly a</w:t>
      </w:r>
      <w:r w:rsidR="008F4A7C">
        <w:rPr>
          <w:rFonts w:ascii="Arial" w:hAnsi="Arial" w:cs="Arial"/>
          <w:sz w:val="23"/>
          <w:szCs w:val="23"/>
        </w:rPr>
        <w:t>nd complex claim in any event).</w:t>
      </w:r>
    </w:p>
    <w:p w:rsidR="00A27375" w:rsidRPr="00EF4871" w:rsidRDefault="00A27375" w:rsidP="00EF4871">
      <w:pPr>
        <w:pStyle w:val="Heading1"/>
        <w:numPr>
          <w:ilvl w:val="0"/>
          <w:numId w:val="8"/>
        </w:numPr>
        <w:ind w:left="567" w:hanging="567"/>
        <w:rPr>
          <w:rFonts w:ascii="Arial Black" w:hAnsi="Arial Black"/>
          <w:color w:val="auto"/>
          <w:sz w:val="23"/>
          <w:szCs w:val="23"/>
        </w:rPr>
      </w:pPr>
      <w:bookmarkStart w:id="9" w:name="_Toc395179741"/>
      <w:r w:rsidRPr="00EF4871">
        <w:rPr>
          <w:rFonts w:ascii="Arial Black" w:hAnsi="Arial Black"/>
          <w:color w:val="auto"/>
          <w:sz w:val="23"/>
          <w:szCs w:val="23"/>
        </w:rPr>
        <w:t>The recommendations</w:t>
      </w:r>
      <w:bookmarkEnd w:id="9"/>
    </w:p>
    <w:p w:rsidR="00A27375" w:rsidRPr="00B320EF" w:rsidRDefault="00A27375" w:rsidP="00A27375">
      <w:pPr>
        <w:pStyle w:val="PlainText"/>
        <w:tabs>
          <w:tab w:val="left" w:pos="1134"/>
        </w:tabs>
        <w:jc w:val="both"/>
        <w:rPr>
          <w:rFonts w:ascii="Arial" w:hAnsi="Arial" w:cs="Arial"/>
          <w:sz w:val="23"/>
          <w:szCs w:val="23"/>
        </w:rPr>
      </w:pPr>
    </w:p>
    <w:p w:rsidR="00A27375" w:rsidRPr="00B320EF" w:rsidRDefault="008F4A7C" w:rsidP="00A27375">
      <w:pPr>
        <w:pStyle w:val="ListParagraph"/>
        <w:widowControl w:val="0"/>
        <w:numPr>
          <w:ilvl w:val="0"/>
          <w:numId w:val="4"/>
        </w:numPr>
        <w:autoSpaceDE w:val="0"/>
        <w:autoSpaceDN w:val="0"/>
        <w:adjustRightInd w:val="0"/>
        <w:spacing w:after="0" w:line="240" w:lineRule="auto"/>
        <w:ind w:right="-45" w:hanging="513"/>
        <w:jc w:val="both"/>
        <w:rPr>
          <w:rFonts w:ascii="Arial" w:hAnsi="Arial" w:cs="Arial"/>
          <w:sz w:val="23"/>
          <w:szCs w:val="23"/>
          <w:lang w:val="en-US"/>
        </w:rPr>
      </w:pPr>
      <w:r>
        <w:rPr>
          <w:rFonts w:ascii="Arial" w:hAnsi="Arial" w:cs="Arial"/>
          <w:sz w:val="23"/>
          <w:szCs w:val="23"/>
          <w:lang w:val="en-US"/>
        </w:rPr>
        <w:t>THAT</w:t>
      </w:r>
      <w:r w:rsidR="00A27375" w:rsidRPr="00B320EF">
        <w:rPr>
          <w:rFonts w:ascii="Arial" w:hAnsi="Arial" w:cs="Arial"/>
          <w:sz w:val="23"/>
          <w:szCs w:val="23"/>
          <w:lang w:val="en-US"/>
        </w:rPr>
        <w:t xml:space="preserve"> the report be received.</w:t>
      </w:r>
    </w:p>
    <w:p w:rsidR="00A27375" w:rsidRPr="00B320EF" w:rsidRDefault="00A27375" w:rsidP="008F4A7C">
      <w:pPr>
        <w:pStyle w:val="ListParagraph"/>
        <w:widowControl w:val="0"/>
        <w:autoSpaceDE w:val="0"/>
        <w:autoSpaceDN w:val="0"/>
        <w:adjustRightInd w:val="0"/>
        <w:spacing w:after="0" w:line="240" w:lineRule="auto"/>
        <w:ind w:left="567" w:right="-45"/>
        <w:jc w:val="both"/>
        <w:rPr>
          <w:rFonts w:ascii="Arial" w:hAnsi="Arial" w:cs="Arial"/>
          <w:sz w:val="23"/>
          <w:szCs w:val="23"/>
          <w:lang w:val="en-US"/>
        </w:rPr>
      </w:pPr>
    </w:p>
    <w:p w:rsidR="00A27375" w:rsidRPr="00B320EF" w:rsidRDefault="008F4A7C" w:rsidP="00A27375">
      <w:pPr>
        <w:pStyle w:val="ListParagraph"/>
        <w:widowControl w:val="0"/>
        <w:numPr>
          <w:ilvl w:val="0"/>
          <w:numId w:val="4"/>
        </w:numPr>
        <w:autoSpaceDE w:val="0"/>
        <w:autoSpaceDN w:val="0"/>
        <w:adjustRightInd w:val="0"/>
        <w:spacing w:after="0" w:line="240" w:lineRule="auto"/>
        <w:ind w:right="-45" w:hanging="513"/>
        <w:jc w:val="both"/>
        <w:rPr>
          <w:rFonts w:ascii="Arial" w:hAnsi="Arial" w:cs="Arial"/>
          <w:sz w:val="23"/>
          <w:szCs w:val="23"/>
        </w:rPr>
      </w:pPr>
      <w:r>
        <w:rPr>
          <w:rFonts w:ascii="Arial" w:hAnsi="Arial" w:cs="Arial"/>
          <w:sz w:val="23"/>
          <w:szCs w:val="23"/>
        </w:rPr>
        <w:t>THAT</w:t>
      </w:r>
      <w:r w:rsidR="00A27375" w:rsidRPr="00B320EF">
        <w:rPr>
          <w:rFonts w:ascii="Arial" w:hAnsi="Arial" w:cs="Arial"/>
          <w:sz w:val="23"/>
          <w:szCs w:val="23"/>
        </w:rPr>
        <w:t xml:space="preserve"> the industrial strategy and </w:t>
      </w:r>
      <w:r w:rsidR="00A27375">
        <w:rPr>
          <w:rFonts w:ascii="Arial" w:hAnsi="Arial" w:cs="Arial"/>
          <w:sz w:val="23"/>
          <w:szCs w:val="23"/>
        </w:rPr>
        <w:t xml:space="preserve">framework for </w:t>
      </w:r>
      <w:r w:rsidR="00A27375" w:rsidRPr="00B320EF">
        <w:rPr>
          <w:rFonts w:ascii="Arial" w:hAnsi="Arial" w:cs="Arial"/>
          <w:sz w:val="23"/>
          <w:szCs w:val="23"/>
        </w:rPr>
        <w:t>claims for the STCA outlined in this paper be endorsed</w:t>
      </w:r>
      <w:r w:rsidR="00A27375">
        <w:rPr>
          <w:rFonts w:ascii="Arial" w:hAnsi="Arial" w:cs="Arial"/>
          <w:sz w:val="23"/>
          <w:szCs w:val="23"/>
        </w:rPr>
        <w:t>.</w:t>
      </w:r>
    </w:p>
    <w:p w:rsidR="00A27375" w:rsidRPr="00B320EF" w:rsidRDefault="00A27375" w:rsidP="00A27375">
      <w:pPr>
        <w:widowControl w:val="0"/>
        <w:autoSpaceDE w:val="0"/>
        <w:autoSpaceDN w:val="0"/>
        <w:adjustRightInd w:val="0"/>
        <w:spacing w:after="0" w:line="240" w:lineRule="auto"/>
        <w:ind w:left="567" w:right="-45"/>
        <w:jc w:val="both"/>
        <w:rPr>
          <w:rFonts w:ascii="Arial" w:hAnsi="Arial" w:cs="Arial"/>
          <w:sz w:val="23"/>
          <w:szCs w:val="23"/>
        </w:rPr>
      </w:pPr>
    </w:p>
    <w:p w:rsidR="00A27375" w:rsidRPr="00B320EF" w:rsidRDefault="008F4A7C" w:rsidP="00A27375">
      <w:pPr>
        <w:pStyle w:val="ListParagraph"/>
        <w:widowControl w:val="0"/>
        <w:numPr>
          <w:ilvl w:val="0"/>
          <w:numId w:val="4"/>
        </w:numPr>
        <w:autoSpaceDE w:val="0"/>
        <w:autoSpaceDN w:val="0"/>
        <w:adjustRightInd w:val="0"/>
        <w:spacing w:after="0" w:line="240" w:lineRule="auto"/>
        <w:ind w:right="-45" w:hanging="513"/>
        <w:jc w:val="both"/>
        <w:rPr>
          <w:rFonts w:ascii="Arial" w:hAnsi="Arial" w:cs="Arial"/>
          <w:sz w:val="23"/>
          <w:szCs w:val="23"/>
        </w:rPr>
      </w:pPr>
      <w:r>
        <w:rPr>
          <w:rFonts w:ascii="Arial" w:hAnsi="Arial" w:cs="Arial"/>
          <w:sz w:val="23"/>
          <w:szCs w:val="23"/>
          <w:lang w:val="en-US"/>
        </w:rPr>
        <w:t>THAT</w:t>
      </w:r>
      <w:r w:rsidR="00A27375" w:rsidRPr="00B320EF">
        <w:rPr>
          <w:rFonts w:ascii="Arial" w:hAnsi="Arial" w:cs="Arial"/>
          <w:sz w:val="23"/>
          <w:szCs w:val="23"/>
          <w:lang w:val="en-US"/>
        </w:rPr>
        <w:t xml:space="preserve"> </w:t>
      </w:r>
      <w:r w:rsidR="00A27375">
        <w:rPr>
          <w:rFonts w:ascii="Arial" w:hAnsi="Arial" w:cs="Arial"/>
          <w:sz w:val="23"/>
          <w:szCs w:val="23"/>
          <w:lang w:val="en-US"/>
        </w:rPr>
        <w:t xml:space="preserve">branch, </w:t>
      </w:r>
      <w:r w:rsidR="00A27375" w:rsidRPr="00B320EF">
        <w:rPr>
          <w:rFonts w:ascii="Arial" w:hAnsi="Arial" w:cs="Arial"/>
          <w:sz w:val="23"/>
          <w:szCs w:val="23"/>
        </w:rPr>
        <w:t xml:space="preserve">regional and national funds </w:t>
      </w:r>
      <w:proofErr w:type="gramStart"/>
      <w:r w:rsidR="00A27375" w:rsidRPr="00B320EF">
        <w:rPr>
          <w:rFonts w:ascii="Arial" w:hAnsi="Arial" w:cs="Arial"/>
          <w:sz w:val="23"/>
          <w:szCs w:val="23"/>
        </w:rPr>
        <w:t>be</w:t>
      </w:r>
      <w:proofErr w:type="gramEnd"/>
      <w:r w:rsidR="00A27375" w:rsidRPr="00B320EF">
        <w:rPr>
          <w:rFonts w:ascii="Arial" w:hAnsi="Arial" w:cs="Arial"/>
          <w:sz w:val="23"/>
          <w:szCs w:val="23"/>
        </w:rPr>
        <w:t xml:space="preserve"> set aside for a 2015 industrial campaign</w:t>
      </w:r>
      <w:r w:rsidR="00A27375">
        <w:rPr>
          <w:rFonts w:ascii="Arial" w:hAnsi="Arial" w:cs="Arial"/>
          <w:sz w:val="23"/>
          <w:szCs w:val="23"/>
        </w:rPr>
        <w:t xml:space="preserve"> and members also be advised to prepare financially for a long campaign next year.</w:t>
      </w:r>
    </w:p>
    <w:p w:rsidR="00A27375" w:rsidRPr="00B320EF" w:rsidRDefault="00A27375" w:rsidP="00A27375">
      <w:pPr>
        <w:widowControl w:val="0"/>
        <w:autoSpaceDE w:val="0"/>
        <w:autoSpaceDN w:val="0"/>
        <w:adjustRightInd w:val="0"/>
        <w:spacing w:after="0" w:line="240" w:lineRule="auto"/>
        <w:ind w:left="567" w:right="-45"/>
        <w:jc w:val="both"/>
        <w:rPr>
          <w:rFonts w:ascii="Arial" w:hAnsi="Arial" w:cs="Arial"/>
          <w:sz w:val="23"/>
          <w:szCs w:val="23"/>
        </w:rPr>
      </w:pPr>
    </w:p>
    <w:p w:rsidR="007D55D1" w:rsidRPr="008F4A7C" w:rsidRDefault="008F4A7C" w:rsidP="008F4A7C">
      <w:pPr>
        <w:pStyle w:val="ListParagraph"/>
        <w:widowControl w:val="0"/>
        <w:numPr>
          <w:ilvl w:val="0"/>
          <w:numId w:val="4"/>
        </w:numPr>
        <w:tabs>
          <w:tab w:val="left" w:pos="1134"/>
        </w:tabs>
        <w:autoSpaceDE w:val="0"/>
        <w:autoSpaceDN w:val="0"/>
        <w:adjustRightInd w:val="0"/>
        <w:spacing w:after="0" w:line="240" w:lineRule="auto"/>
        <w:ind w:right="-45" w:hanging="513"/>
        <w:jc w:val="both"/>
        <w:rPr>
          <w:rFonts w:ascii="Arial" w:hAnsi="Arial" w:cs="Arial"/>
        </w:rPr>
      </w:pPr>
      <w:r>
        <w:rPr>
          <w:rFonts w:ascii="Arial" w:hAnsi="Arial" w:cs="Arial"/>
          <w:sz w:val="23"/>
          <w:szCs w:val="23"/>
          <w:lang w:val="en-US"/>
        </w:rPr>
        <w:t>THAT</w:t>
      </w:r>
      <w:r w:rsidR="00A27375" w:rsidRPr="00B320EF">
        <w:rPr>
          <w:rFonts w:ascii="Arial" w:hAnsi="Arial" w:cs="Arial"/>
          <w:sz w:val="23"/>
          <w:szCs w:val="23"/>
          <w:lang w:val="en-US"/>
        </w:rPr>
        <w:t xml:space="preserve"> branch meetings (possibly at branch PUMs) be called for members to consider and discuss a major salary claim and its implications, </w:t>
      </w:r>
      <w:r w:rsidR="00A27375">
        <w:rPr>
          <w:rFonts w:ascii="Arial" w:hAnsi="Arial" w:cs="Arial"/>
          <w:sz w:val="23"/>
          <w:szCs w:val="23"/>
          <w:lang w:val="en-US"/>
        </w:rPr>
        <w:t>and the equitable part</w:t>
      </w:r>
      <w:r w:rsidR="004A56AF">
        <w:rPr>
          <w:rFonts w:ascii="Arial" w:hAnsi="Arial" w:cs="Arial"/>
          <w:sz w:val="23"/>
          <w:szCs w:val="23"/>
          <w:lang w:val="en-US"/>
        </w:rPr>
        <w:t>-</w:t>
      </w:r>
      <w:r w:rsidR="00A27375">
        <w:rPr>
          <w:rFonts w:ascii="Arial" w:hAnsi="Arial" w:cs="Arial"/>
          <w:sz w:val="23"/>
          <w:szCs w:val="23"/>
          <w:lang w:val="en-US"/>
        </w:rPr>
        <w:t>time non-contact claim</w:t>
      </w:r>
      <w:r w:rsidR="004A56AF">
        <w:rPr>
          <w:rFonts w:ascii="Arial" w:hAnsi="Arial" w:cs="Arial"/>
          <w:sz w:val="23"/>
          <w:szCs w:val="23"/>
          <w:lang w:val="en-US"/>
        </w:rPr>
        <w:t>,</w:t>
      </w:r>
      <w:r w:rsidR="00A27375">
        <w:rPr>
          <w:rFonts w:ascii="Arial" w:hAnsi="Arial" w:cs="Arial"/>
          <w:sz w:val="23"/>
          <w:szCs w:val="23"/>
          <w:lang w:val="en-US"/>
        </w:rPr>
        <w:t xml:space="preserve"> </w:t>
      </w:r>
      <w:r w:rsidR="00A27375" w:rsidRPr="00B320EF">
        <w:rPr>
          <w:rFonts w:ascii="Arial" w:hAnsi="Arial" w:cs="Arial"/>
          <w:sz w:val="23"/>
          <w:szCs w:val="23"/>
          <w:lang w:val="en-US"/>
        </w:rPr>
        <w:t xml:space="preserve">and to agree on their three </w:t>
      </w:r>
      <w:r w:rsidR="00A27375">
        <w:rPr>
          <w:rFonts w:ascii="Arial" w:hAnsi="Arial" w:cs="Arial"/>
          <w:sz w:val="23"/>
          <w:szCs w:val="23"/>
          <w:lang w:val="en-US"/>
        </w:rPr>
        <w:t xml:space="preserve">additional conditions </w:t>
      </w:r>
      <w:r w:rsidR="00A27375" w:rsidRPr="00B320EF">
        <w:rPr>
          <w:rFonts w:ascii="Arial" w:hAnsi="Arial" w:cs="Arial"/>
          <w:sz w:val="23"/>
          <w:szCs w:val="23"/>
          <w:lang w:val="en-US"/>
        </w:rPr>
        <w:t>claims</w:t>
      </w:r>
      <w:r w:rsidR="00A27375">
        <w:rPr>
          <w:rFonts w:ascii="Arial" w:hAnsi="Arial" w:cs="Arial"/>
          <w:sz w:val="23"/>
          <w:szCs w:val="23"/>
          <w:lang w:val="en-US"/>
        </w:rPr>
        <w:t>.</w:t>
      </w:r>
      <w:bookmarkStart w:id="10" w:name="_GoBack"/>
      <w:bookmarkEnd w:id="10"/>
    </w:p>
    <w:sectPr w:rsidR="007D55D1" w:rsidRPr="008F4A7C" w:rsidSect="001D3263">
      <w:headerReference w:type="default" r:id="rId9"/>
      <w:footerReference w:type="default" r:id="rId10"/>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A82" w:rsidRDefault="008C5A82" w:rsidP="00A27375">
      <w:pPr>
        <w:spacing w:after="0" w:line="240" w:lineRule="auto"/>
      </w:pPr>
      <w:r>
        <w:separator/>
      </w:r>
    </w:p>
  </w:endnote>
  <w:endnote w:type="continuationSeparator" w:id="0">
    <w:p w:rsidR="008C5A82" w:rsidRDefault="008C5A82" w:rsidP="00A2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029907"/>
      <w:docPartObj>
        <w:docPartGallery w:val="Page Numbers (Bottom of Page)"/>
        <w:docPartUnique/>
      </w:docPartObj>
    </w:sdtPr>
    <w:sdtEndPr>
      <w:rPr>
        <w:noProof/>
      </w:rPr>
    </w:sdtEndPr>
    <w:sdtContent>
      <w:p w:rsidR="005A5405" w:rsidRDefault="005A5405">
        <w:pPr>
          <w:pStyle w:val="Footer"/>
          <w:jc w:val="right"/>
        </w:pPr>
        <w:r>
          <w:fldChar w:fldCharType="begin"/>
        </w:r>
        <w:r>
          <w:instrText xml:space="preserve"> PAGE   \* MERGEFORMAT </w:instrText>
        </w:r>
        <w:r>
          <w:fldChar w:fldCharType="separate"/>
        </w:r>
        <w:r w:rsidR="008F4A7C">
          <w:rPr>
            <w:noProof/>
          </w:rPr>
          <w:t>7</w:t>
        </w:r>
        <w:r>
          <w:rPr>
            <w:noProof/>
          </w:rPr>
          <w:fldChar w:fldCharType="end"/>
        </w:r>
      </w:p>
    </w:sdtContent>
  </w:sdt>
  <w:p w:rsidR="005A5405" w:rsidRDefault="005A5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A82" w:rsidRDefault="008C5A82" w:rsidP="00A27375">
      <w:pPr>
        <w:spacing w:after="0" w:line="240" w:lineRule="auto"/>
      </w:pPr>
      <w:r>
        <w:separator/>
      </w:r>
    </w:p>
  </w:footnote>
  <w:footnote w:type="continuationSeparator" w:id="0">
    <w:p w:rsidR="008C5A82" w:rsidRDefault="008C5A82" w:rsidP="00A27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375" w:rsidRDefault="00A27375" w:rsidP="00A27375">
    <w:pPr>
      <w:pStyle w:val="Header"/>
      <w:jc w:val="center"/>
    </w:pPr>
    <w:r>
      <w:rPr>
        <w:rFonts w:ascii="Arial Black" w:eastAsia="Calibri" w:hAnsi="Arial Black"/>
        <w:noProof/>
        <w:sz w:val="32"/>
        <w:szCs w:val="32"/>
        <w:lang w:eastAsia="en-NZ"/>
      </w:rPr>
      <w:drawing>
        <wp:inline distT="0" distB="0" distL="0" distR="0" wp14:anchorId="4EB5D9BF" wp14:editId="316F4FCD">
          <wp:extent cx="1157220" cy="997974"/>
          <wp:effectExtent l="0" t="0" r="5080" b="0"/>
          <wp:docPr id="2" name="Picture 2" descr="\\PPTAWNSBS\WordProc$\Infoserv\Logos\Our logos\Annual Conference logo\Annual-Conference-logo-SMALL-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TAWNSBS\WordProc$\Infoserv\Logos\Our logos\Annual Conference logo\Annual-Conference-logo-SMALL-201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9196" cy="999678"/>
                  </a:xfrm>
                  <a:prstGeom prst="rect">
                    <a:avLst/>
                  </a:prstGeom>
                  <a:noFill/>
                  <a:ln>
                    <a:noFill/>
                  </a:ln>
                </pic:spPr>
              </pic:pic>
            </a:graphicData>
          </a:graphic>
        </wp:inline>
      </w:drawing>
    </w:r>
  </w:p>
  <w:p w:rsidR="00A27375" w:rsidRDefault="00A273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27CFC"/>
    <w:multiLevelType w:val="hybridMultilevel"/>
    <w:tmpl w:val="3196C1B2"/>
    <w:lvl w:ilvl="0" w:tplc="14090001">
      <w:start w:val="1"/>
      <w:numFmt w:val="bullet"/>
      <w:lvlText w:val=""/>
      <w:lvlJc w:val="left"/>
      <w:pPr>
        <w:ind w:left="360" w:hanging="360"/>
      </w:pPr>
      <w:rPr>
        <w:rFonts w:ascii="Symbol" w:hAnsi="Symbo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4AAC7C9B"/>
    <w:multiLevelType w:val="multilevel"/>
    <w:tmpl w:val="39D2AA1C"/>
    <w:lvl w:ilvl="0">
      <w:start w:val="1"/>
      <w:numFmt w:val="decimal"/>
      <w:lvlText w:val="%1."/>
      <w:lvlJc w:val="left"/>
      <w:pPr>
        <w:ind w:left="720" w:hanging="360"/>
      </w:pPr>
    </w:lvl>
    <w:lvl w:ilvl="1">
      <w:start w:val="5"/>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
    <w:nsid w:val="53110A3D"/>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81F56CA"/>
    <w:multiLevelType w:val="hybridMultilevel"/>
    <w:tmpl w:val="A5BA5FEE"/>
    <w:lvl w:ilvl="0" w:tplc="41DAD1F2">
      <w:start w:val="1"/>
      <w:numFmt w:val="lowerRoman"/>
      <w:lvlText w:val="%1."/>
      <w:lvlJc w:val="left"/>
      <w:pPr>
        <w:ind w:left="1800" w:hanging="360"/>
      </w:pPr>
      <w:rPr>
        <w:rFonts w:ascii="Arial" w:hAnsi="Arial"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3173E82"/>
    <w:multiLevelType w:val="hybridMultilevel"/>
    <w:tmpl w:val="812031C0"/>
    <w:lvl w:ilvl="0" w:tplc="14090001">
      <w:start w:val="1"/>
      <w:numFmt w:val="bullet"/>
      <w:lvlText w:val=""/>
      <w:lvlJc w:val="left"/>
      <w:pPr>
        <w:ind w:left="928" w:hanging="360"/>
      </w:pPr>
      <w:rPr>
        <w:rFonts w:ascii="Symbol" w:hAnsi="Symbol" w:hint="default"/>
      </w:rPr>
    </w:lvl>
    <w:lvl w:ilvl="1" w:tplc="14090003" w:tentative="1">
      <w:start w:val="1"/>
      <w:numFmt w:val="bullet"/>
      <w:lvlText w:val="o"/>
      <w:lvlJc w:val="left"/>
      <w:pPr>
        <w:ind w:left="1648" w:hanging="360"/>
      </w:pPr>
      <w:rPr>
        <w:rFonts w:ascii="Courier New" w:hAnsi="Courier New" w:cs="Courier New" w:hint="default"/>
      </w:rPr>
    </w:lvl>
    <w:lvl w:ilvl="2" w:tplc="14090005" w:tentative="1">
      <w:start w:val="1"/>
      <w:numFmt w:val="bullet"/>
      <w:lvlText w:val=""/>
      <w:lvlJc w:val="left"/>
      <w:pPr>
        <w:ind w:left="2368" w:hanging="360"/>
      </w:pPr>
      <w:rPr>
        <w:rFonts w:ascii="Wingdings" w:hAnsi="Wingdings" w:hint="default"/>
      </w:rPr>
    </w:lvl>
    <w:lvl w:ilvl="3" w:tplc="14090001" w:tentative="1">
      <w:start w:val="1"/>
      <w:numFmt w:val="bullet"/>
      <w:lvlText w:val=""/>
      <w:lvlJc w:val="left"/>
      <w:pPr>
        <w:ind w:left="3088" w:hanging="360"/>
      </w:pPr>
      <w:rPr>
        <w:rFonts w:ascii="Symbol" w:hAnsi="Symbol" w:hint="default"/>
      </w:rPr>
    </w:lvl>
    <w:lvl w:ilvl="4" w:tplc="14090003" w:tentative="1">
      <w:start w:val="1"/>
      <w:numFmt w:val="bullet"/>
      <w:lvlText w:val="o"/>
      <w:lvlJc w:val="left"/>
      <w:pPr>
        <w:ind w:left="3808" w:hanging="360"/>
      </w:pPr>
      <w:rPr>
        <w:rFonts w:ascii="Courier New" w:hAnsi="Courier New" w:cs="Courier New" w:hint="default"/>
      </w:rPr>
    </w:lvl>
    <w:lvl w:ilvl="5" w:tplc="14090005" w:tentative="1">
      <w:start w:val="1"/>
      <w:numFmt w:val="bullet"/>
      <w:lvlText w:val=""/>
      <w:lvlJc w:val="left"/>
      <w:pPr>
        <w:ind w:left="4528" w:hanging="360"/>
      </w:pPr>
      <w:rPr>
        <w:rFonts w:ascii="Wingdings" w:hAnsi="Wingdings" w:hint="default"/>
      </w:rPr>
    </w:lvl>
    <w:lvl w:ilvl="6" w:tplc="14090001" w:tentative="1">
      <w:start w:val="1"/>
      <w:numFmt w:val="bullet"/>
      <w:lvlText w:val=""/>
      <w:lvlJc w:val="left"/>
      <w:pPr>
        <w:ind w:left="5248" w:hanging="360"/>
      </w:pPr>
      <w:rPr>
        <w:rFonts w:ascii="Symbol" w:hAnsi="Symbol" w:hint="default"/>
      </w:rPr>
    </w:lvl>
    <w:lvl w:ilvl="7" w:tplc="14090003" w:tentative="1">
      <w:start w:val="1"/>
      <w:numFmt w:val="bullet"/>
      <w:lvlText w:val="o"/>
      <w:lvlJc w:val="left"/>
      <w:pPr>
        <w:ind w:left="5968" w:hanging="360"/>
      </w:pPr>
      <w:rPr>
        <w:rFonts w:ascii="Courier New" w:hAnsi="Courier New" w:cs="Courier New" w:hint="default"/>
      </w:rPr>
    </w:lvl>
    <w:lvl w:ilvl="8" w:tplc="14090005" w:tentative="1">
      <w:start w:val="1"/>
      <w:numFmt w:val="bullet"/>
      <w:lvlText w:val=""/>
      <w:lvlJc w:val="left"/>
      <w:pPr>
        <w:ind w:left="6688" w:hanging="360"/>
      </w:pPr>
      <w:rPr>
        <w:rFonts w:ascii="Wingdings" w:hAnsi="Wingdings" w:hint="default"/>
      </w:rPr>
    </w:lvl>
  </w:abstractNum>
  <w:abstractNum w:abstractNumId="5">
    <w:nsid w:val="68E607AC"/>
    <w:multiLevelType w:val="hybridMultilevel"/>
    <w:tmpl w:val="DF1E422E"/>
    <w:lvl w:ilvl="0" w:tplc="5EB6D312">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nsid w:val="6B130103"/>
    <w:multiLevelType w:val="multilevel"/>
    <w:tmpl w:val="223CD91C"/>
    <w:lvl w:ilvl="0">
      <w:start w:val="1"/>
      <w:numFmt w:val="decimal"/>
      <w:lvlText w:val="%1."/>
      <w:lvlJc w:val="left"/>
      <w:pPr>
        <w:ind w:left="360" w:hanging="360"/>
      </w:pPr>
    </w:lvl>
    <w:lvl w:ilvl="1">
      <w:start w:val="5"/>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336" w:hanging="1800"/>
      </w:pPr>
      <w:rPr>
        <w:rFonts w:hint="default"/>
      </w:rPr>
    </w:lvl>
  </w:abstractNum>
  <w:abstractNum w:abstractNumId="7">
    <w:nsid w:val="6EFD29B0"/>
    <w:multiLevelType w:val="multilevel"/>
    <w:tmpl w:val="F8EC26A4"/>
    <w:styleLink w:val="WWNum1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2"/>
  </w:num>
  <w:num w:numId="2">
    <w:abstractNumId w:val="7"/>
  </w:num>
  <w:num w:numId="3">
    <w:abstractNumId w:val="4"/>
  </w:num>
  <w:num w:numId="4">
    <w:abstractNumId w:val="5"/>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D1"/>
    <w:rsid w:val="0002042E"/>
    <w:rsid w:val="00052E57"/>
    <w:rsid w:val="000E32E8"/>
    <w:rsid w:val="001554B5"/>
    <w:rsid w:val="00162C38"/>
    <w:rsid w:val="001D3263"/>
    <w:rsid w:val="00204B3A"/>
    <w:rsid w:val="00214A05"/>
    <w:rsid w:val="00224F1F"/>
    <w:rsid w:val="002A6274"/>
    <w:rsid w:val="00374533"/>
    <w:rsid w:val="003D78E4"/>
    <w:rsid w:val="004278BC"/>
    <w:rsid w:val="004A56AF"/>
    <w:rsid w:val="004F059C"/>
    <w:rsid w:val="005102EA"/>
    <w:rsid w:val="0056138A"/>
    <w:rsid w:val="005A18FE"/>
    <w:rsid w:val="005A5405"/>
    <w:rsid w:val="005E4ECD"/>
    <w:rsid w:val="00623668"/>
    <w:rsid w:val="006E2BA7"/>
    <w:rsid w:val="00722AC6"/>
    <w:rsid w:val="00730610"/>
    <w:rsid w:val="00735630"/>
    <w:rsid w:val="007A3B8A"/>
    <w:rsid w:val="007A7685"/>
    <w:rsid w:val="007D55D1"/>
    <w:rsid w:val="008C0BEC"/>
    <w:rsid w:val="008C5A82"/>
    <w:rsid w:val="008F4A7C"/>
    <w:rsid w:val="00904044"/>
    <w:rsid w:val="009865AC"/>
    <w:rsid w:val="00A26A76"/>
    <w:rsid w:val="00A27375"/>
    <w:rsid w:val="00A66627"/>
    <w:rsid w:val="00A719E7"/>
    <w:rsid w:val="00B320EF"/>
    <w:rsid w:val="00B575EC"/>
    <w:rsid w:val="00B662F2"/>
    <w:rsid w:val="00B71440"/>
    <w:rsid w:val="00BD37FE"/>
    <w:rsid w:val="00C27ACC"/>
    <w:rsid w:val="00C401B0"/>
    <w:rsid w:val="00C57F08"/>
    <w:rsid w:val="00C963CF"/>
    <w:rsid w:val="00CD3B96"/>
    <w:rsid w:val="00CD6999"/>
    <w:rsid w:val="00CE60B0"/>
    <w:rsid w:val="00D903D7"/>
    <w:rsid w:val="00DD37CC"/>
    <w:rsid w:val="00E22664"/>
    <w:rsid w:val="00E524D6"/>
    <w:rsid w:val="00E74270"/>
    <w:rsid w:val="00EA2A40"/>
    <w:rsid w:val="00EB6417"/>
    <w:rsid w:val="00ED6D56"/>
    <w:rsid w:val="00ED7B8E"/>
    <w:rsid w:val="00EF4871"/>
    <w:rsid w:val="00F62253"/>
    <w:rsid w:val="00F8588A"/>
    <w:rsid w:val="00FC04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48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A18FE"/>
    <w:pPr>
      <w:keepNext/>
      <w:spacing w:after="0" w:line="240" w:lineRule="auto"/>
      <w:outlineLvl w:val="1"/>
    </w:pPr>
    <w:rPr>
      <w:rFonts w:ascii="Arial Black" w:eastAsia="Times New Roman" w:hAnsi="Arial Black" w:cs="Times New Roman"/>
      <w:b/>
      <w:sz w:val="32"/>
      <w:szCs w:val="20"/>
      <w:lang w:val="en-GB"/>
    </w:rPr>
  </w:style>
  <w:style w:type="paragraph" w:styleId="Heading3">
    <w:name w:val="heading 3"/>
    <w:basedOn w:val="Normal"/>
    <w:next w:val="Normal"/>
    <w:link w:val="Heading3Char"/>
    <w:qFormat/>
    <w:rsid w:val="005A18FE"/>
    <w:pPr>
      <w:keepNext/>
      <w:spacing w:after="0" w:line="240" w:lineRule="auto"/>
      <w:outlineLvl w:val="2"/>
    </w:pPr>
    <w:rPr>
      <w:rFonts w:ascii="Arial" w:eastAsia="Times New Roman" w:hAnsi="Arial" w:cs="Arial"/>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5D1"/>
    <w:pPr>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D55D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7D55D1"/>
    <w:rPr>
      <w:rFonts w:ascii="Calibri" w:eastAsia="Calibri" w:hAnsi="Calibri" w:cs="Times New Roman"/>
      <w:szCs w:val="21"/>
    </w:rPr>
  </w:style>
  <w:style w:type="paragraph" w:customStyle="1" w:styleId="Standard">
    <w:name w:val="Standard"/>
    <w:rsid w:val="007D55D1"/>
    <w:pPr>
      <w:suppressAutoHyphens/>
      <w:autoSpaceDN w:val="0"/>
      <w:spacing w:after="0" w:line="240" w:lineRule="auto"/>
      <w:textAlignment w:val="baseline"/>
    </w:pPr>
    <w:rPr>
      <w:rFonts w:ascii="Times New Roman" w:eastAsia="Arial Unicode MS" w:hAnsi="Times New Roman" w:cs="Mangal"/>
      <w:kern w:val="3"/>
      <w:sz w:val="24"/>
      <w:szCs w:val="20"/>
      <w:lang w:val="en-GB" w:eastAsia="zh-CN" w:bidi="hi-IN"/>
    </w:rPr>
  </w:style>
  <w:style w:type="numbering" w:customStyle="1" w:styleId="WWNum17">
    <w:name w:val="WWNum17"/>
    <w:basedOn w:val="NoList"/>
    <w:rsid w:val="007D55D1"/>
    <w:pPr>
      <w:numPr>
        <w:numId w:val="2"/>
      </w:numPr>
    </w:pPr>
  </w:style>
  <w:style w:type="table" w:styleId="TableGrid">
    <w:name w:val="Table Grid"/>
    <w:basedOn w:val="TableNormal"/>
    <w:uiPriority w:val="59"/>
    <w:rsid w:val="00C57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C04FF"/>
    <w:pPr>
      <w:ind w:left="720"/>
      <w:contextualSpacing/>
    </w:pPr>
    <w:rPr>
      <w:rFonts w:ascii="Calibri" w:eastAsia="Calibri" w:hAnsi="Calibri" w:cs="Times New Roman"/>
    </w:rPr>
  </w:style>
  <w:style w:type="paragraph" w:styleId="BalloonText">
    <w:name w:val="Balloon Text"/>
    <w:basedOn w:val="Normal"/>
    <w:link w:val="BalloonTextChar"/>
    <w:uiPriority w:val="99"/>
    <w:semiHidden/>
    <w:rsid w:val="00FC04FF"/>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C04FF"/>
    <w:rPr>
      <w:rFonts w:ascii="Tahoma" w:eastAsia="Calibri" w:hAnsi="Tahoma" w:cs="Tahoma"/>
      <w:sz w:val="16"/>
      <w:szCs w:val="16"/>
    </w:rPr>
  </w:style>
  <w:style w:type="character" w:customStyle="1" w:styleId="Heading2Char">
    <w:name w:val="Heading 2 Char"/>
    <w:basedOn w:val="DefaultParagraphFont"/>
    <w:link w:val="Heading2"/>
    <w:rsid w:val="005A18FE"/>
    <w:rPr>
      <w:rFonts w:ascii="Arial Black" w:eastAsia="Times New Roman" w:hAnsi="Arial Black" w:cs="Times New Roman"/>
      <w:b/>
      <w:sz w:val="32"/>
      <w:szCs w:val="20"/>
      <w:lang w:val="en-GB"/>
    </w:rPr>
  </w:style>
  <w:style w:type="character" w:customStyle="1" w:styleId="Heading3Char">
    <w:name w:val="Heading 3 Char"/>
    <w:basedOn w:val="DefaultParagraphFont"/>
    <w:link w:val="Heading3"/>
    <w:rsid w:val="005A18FE"/>
    <w:rPr>
      <w:rFonts w:ascii="Arial" w:eastAsia="Times New Roman" w:hAnsi="Arial" w:cs="Arial"/>
      <w:b/>
      <w:sz w:val="28"/>
      <w:szCs w:val="20"/>
      <w:lang w:val="en-GB"/>
    </w:rPr>
  </w:style>
  <w:style w:type="paragraph" w:styleId="Header">
    <w:name w:val="header"/>
    <w:basedOn w:val="Normal"/>
    <w:link w:val="HeaderChar"/>
    <w:uiPriority w:val="99"/>
    <w:unhideWhenUsed/>
    <w:rsid w:val="00A27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375"/>
  </w:style>
  <w:style w:type="paragraph" w:styleId="Footer">
    <w:name w:val="footer"/>
    <w:basedOn w:val="Normal"/>
    <w:link w:val="FooterChar"/>
    <w:uiPriority w:val="99"/>
    <w:unhideWhenUsed/>
    <w:rsid w:val="00A27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375"/>
  </w:style>
  <w:style w:type="character" w:customStyle="1" w:styleId="Heading1Char">
    <w:name w:val="Heading 1 Char"/>
    <w:basedOn w:val="DefaultParagraphFont"/>
    <w:link w:val="Heading1"/>
    <w:uiPriority w:val="9"/>
    <w:rsid w:val="00EF487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F4871"/>
    <w:pPr>
      <w:outlineLvl w:val="9"/>
    </w:pPr>
    <w:rPr>
      <w:lang w:val="en-US" w:eastAsia="ja-JP"/>
    </w:rPr>
  </w:style>
  <w:style w:type="paragraph" w:styleId="TOC1">
    <w:name w:val="toc 1"/>
    <w:basedOn w:val="Normal"/>
    <w:next w:val="Normal"/>
    <w:autoRedefine/>
    <w:uiPriority w:val="39"/>
    <w:unhideWhenUsed/>
    <w:rsid w:val="00EF4871"/>
    <w:pPr>
      <w:spacing w:after="100"/>
    </w:pPr>
  </w:style>
  <w:style w:type="character" w:styleId="Hyperlink">
    <w:name w:val="Hyperlink"/>
    <w:basedOn w:val="DefaultParagraphFont"/>
    <w:uiPriority w:val="99"/>
    <w:unhideWhenUsed/>
    <w:rsid w:val="00EF4871"/>
    <w:rPr>
      <w:color w:val="0000FF" w:themeColor="hyperlink"/>
      <w:u w:val="single"/>
    </w:rPr>
  </w:style>
  <w:style w:type="character" w:styleId="CommentReference">
    <w:name w:val="annotation reference"/>
    <w:basedOn w:val="DefaultParagraphFont"/>
    <w:uiPriority w:val="99"/>
    <w:semiHidden/>
    <w:unhideWhenUsed/>
    <w:rsid w:val="004A56AF"/>
    <w:rPr>
      <w:sz w:val="16"/>
      <w:szCs w:val="16"/>
    </w:rPr>
  </w:style>
  <w:style w:type="paragraph" w:styleId="CommentText">
    <w:name w:val="annotation text"/>
    <w:basedOn w:val="Normal"/>
    <w:link w:val="CommentTextChar"/>
    <w:uiPriority w:val="99"/>
    <w:semiHidden/>
    <w:unhideWhenUsed/>
    <w:rsid w:val="004A56AF"/>
    <w:pPr>
      <w:spacing w:line="240" w:lineRule="auto"/>
    </w:pPr>
    <w:rPr>
      <w:sz w:val="20"/>
      <w:szCs w:val="20"/>
    </w:rPr>
  </w:style>
  <w:style w:type="character" w:customStyle="1" w:styleId="CommentTextChar">
    <w:name w:val="Comment Text Char"/>
    <w:basedOn w:val="DefaultParagraphFont"/>
    <w:link w:val="CommentText"/>
    <w:uiPriority w:val="99"/>
    <w:semiHidden/>
    <w:rsid w:val="004A56AF"/>
    <w:rPr>
      <w:sz w:val="20"/>
      <w:szCs w:val="20"/>
    </w:rPr>
  </w:style>
  <w:style w:type="paragraph" w:styleId="CommentSubject">
    <w:name w:val="annotation subject"/>
    <w:basedOn w:val="CommentText"/>
    <w:next w:val="CommentText"/>
    <w:link w:val="CommentSubjectChar"/>
    <w:uiPriority w:val="99"/>
    <w:semiHidden/>
    <w:unhideWhenUsed/>
    <w:rsid w:val="004A56AF"/>
    <w:rPr>
      <w:b/>
      <w:bCs/>
    </w:rPr>
  </w:style>
  <w:style w:type="character" w:customStyle="1" w:styleId="CommentSubjectChar">
    <w:name w:val="Comment Subject Char"/>
    <w:basedOn w:val="CommentTextChar"/>
    <w:link w:val="CommentSubject"/>
    <w:uiPriority w:val="99"/>
    <w:semiHidden/>
    <w:rsid w:val="004A56A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48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A18FE"/>
    <w:pPr>
      <w:keepNext/>
      <w:spacing w:after="0" w:line="240" w:lineRule="auto"/>
      <w:outlineLvl w:val="1"/>
    </w:pPr>
    <w:rPr>
      <w:rFonts w:ascii="Arial Black" w:eastAsia="Times New Roman" w:hAnsi="Arial Black" w:cs="Times New Roman"/>
      <w:b/>
      <w:sz w:val="32"/>
      <w:szCs w:val="20"/>
      <w:lang w:val="en-GB"/>
    </w:rPr>
  </w:style>
  <w:style w:type="paragraph" w:styleId="Heading3">
    <w:name w:val="heading 3"/>
    <w:basedOn w:val="Normal"/>
    <w:next w:val="Normal"/>
    <w:link w:val="Heading3Char"/>
    <w:qFormat/>
    <w:rsid w:val="005A18FE"/>
    <w:pPr>
      <w:keepNext/>
      <w:spacing w:after="0" w:line="240" w:lineRule="auto"/>
      <w:outlineLvl w:val="2"/>
    </w:pPr>
    <w:rPr>
      <w:rFonts w:ascii="Arial" w:eastAsia="Times New Roman" w:hAnsi="Arial" w:cs="Arial"/>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5D1"/>
    <w:pPr>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D55D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7D55D1"/>
    <w:rPr>
      <w:rFonts w:ascii="Calibri" w:eastAsia="Calibri" w:hAnsi="Calibri" w:cs="Times New Roman"/>
      <w:szCs w:val="21"/>
    </w:rPr>
  </w:style>
  <w:style w:type="paragraph" w:customStyle="1" w:styleId="Standard">
    <w:name w:val="Standard"/>
    <w:rsid w:val="007D55D1"/>
    <w:pPr>
      <w:suppressAutoHyphens/>
      <w:autoSpaceDN w:val="0"/>
      <w:spacing w:after="0" w:line="240" w:lineRule="auto"/>
      <w:textAlignment w:val="baseline"/>
    </w:pPr>
    <w:rPr>
      <w:rFonts w:ascii="Times New Roman" w:eastAsia="Arial Unicode MS" w:hAnsi="Times New Roman" w:cs="Mangal"/>
      <w:kern w:val="3"/>
      <w:sz w:val="24"/>
      <w:szCs w:val="20"/>
      <w:lang w:val="en-GB" w:eastAsia="zh-CN" w:bidi="hi-IN"/>
    </w:rPr>
  </w:style>
  <w:style w:type="numbering" w:customStyle="1" w:styleId="WWNum17">
    <w:name w:val="WWNum17"/>
    <w:basedOn w:val="NoList"/>
    <w:rsid w:val="007D55D1"/>
    <w:pPr>
      <w:numPr>
        <w:numId w:val="2"/>
      </w:numPr>
    </w:pPr>
  </w:style>
  <w:style w:type="table" w:styleId="TableGrid">
    <w:name w:val="Table Grid"/>
    <w:basedOn w:val="TableNormal"/>
    <w:uiPriority w:val="59"/>
    <w:rsid w:val="00C57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C04FF"/>
    <w:pPr>
      <w:ind w:left="720"/>
      <w:contextualSpacing/>
    </w:pPr>
    <w:rPr>
      <w:rFonts w:ascii="Calibri" w:eastAsia="Calibri" w:hAnsi="Calibri" w:cs="Times New Roman"/>
    </w:rPr>
  </w:style>
  <w:style w:type="paragraph" w:styleId="BalloonText">
    <w:name w:val="Balloon Text"/>
    <w:basedOn w:val="Normal"/>
    <w:link w:val="BalloonTextChar"/>
    <w:uiPriority w:val="99"/>
    <w:semiHidden/>
    <w:rsid w:val="00FC04FF"/>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C04FF"/>
    <w:rPr>
      <w:rFonts w:ascii="Tahoma" w:eastAsia="Calibri" w:hAnsi="Tahoma" w:cs="Tahoma"/>
      <w:sz w:val="16"/>
      <w:szCs w:val="16"/>
    </w:rPr>
  </w:style>
  <w:style w:type="character" w:customStyle="1" w:styleId="Heading2Char">
    <w:name w:val="Heading 2 Char"/>
    <w:basedOn w:val="DefaultParagraphFont"/>
    <w:link w:val="Heading2"/>
    <w:rsid w:val="005A18FE"/>
    <w:rPr>
      <w:rFonts w:ascii="Arial Black" w:eastAsia="Times New Roman" w:hAnsi="Arial Black" w:cs="Times New Roman"/>
      <w:b/>
      <w:sz w:val="32"/>
      <w:szCs w:val="20"/>
      <w:lang w:val="en-GB"/>
    </w:rPr>
  </w:style>
  <w:style w:type="character" w:customStyle="1" w:styleId="Heading3Char">
    <w:name w:val="Heading 3 Char"/>
    <w:basedOn w:val="DefaultParagraphFont"/>
    <w:link w:val="Heading3"/>
    <w:rsid w:val="005A18FE"/>
    <w:rPr>
      <w:rFonts w:ascii="Arial" w:eastAsia="Times New Roman" w:hAnsi="Arial" w:cs="Arial"/>
      <w:b/>
      <w:sz w:val="28"/>
      <w:szCs w:val="20"/>
      <w:lang w:val="en-GB"/>
    </w:rPr>
  </w:style>
  <w:style w:type="paragraph" w:styleId="Header">
    <w:name w:val="header"/>
    <w:basedOn w:val="Normal"/>
    <w:link w:val="HeaderChar"/>
    <w:uiPriority w:val="99"/>
    <w:unhideWhenUsed/>
    <w:rsid w:val="00A27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375"/>
  </w:style>
  <w:style w:type="paragraph" w:styleId="Footer">
    <w:name w:val="footer"/>
    <w:basedOn w:val="Normal"/>
    <w:link w:val="FooterChar"/>
    <w:uiPriority w:val="99"/>
    <w:unhideWhenUsed/>
    <w:rsid w:val="00A27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375"/>
  </w:style>
  <w:style w:type="character" w:customStyle="1" w:styleId="Heading1Char">
    <w:name w:val="Heading 1 Char"/>
    <w:basedOn w:val="DefaultParagraphFont"/>
    <w:link w:val="Heading1"/>
    <w:uiPriority w:val="9"/>
    <w:rsid w:val="00EF487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F4871"/>
    <w:pPr>
      <w:outlineLvl w:val="9"/>
    </w:pPr>
    <w:rPr>
      <w:lang w:val="en-US" w:eastAsia="ja-JP"/>
    </w:rPr>
  </w:style>
  <w:style w:type="paragraph" w:styleId="TOC1">
    <w:name w:val="toc 1"/>
    <w:basedOn w:val="Normal"/>
    <w:next w:val="Normal"/>
    <w:autoRedefine/>
    <w:uiPriority w:val="39"/>
    <w:unhideWhenUsed/>
    <w:rsid w:val="00EF4871"/>
    <w:pPr>
      <w:spacing w:after="100"/>
    </w:pPr>
  </w:style>
  <w:style w:type="character" w:styleId="Hyperlink">
    <w:name w:val="Hyperlink"/>
    <w:basedOn w:val="DefaultParagraphFont"/>
    <w:uiPriority w:val="99"/>
    <w:unhideWhenUsed/>
    <w:rsid w:val="00EF4871"/>
    <w:rPr>
      <w:color w:val="0000FF" w:themeColor="hyperlink"/>
      <w:u w:val="single"/>
    </w:rPr>
  </w:style>
  <w:style w:type="character" w:styleId="CommentReference">
    <w:name w:val="annotation reference"/>
    <w:basedOn w:val="DefaultParagraphFont"/>
    <w:uiPriority w:val="99"/>
    <w:semiHidden/>
    <w:unhideWhenUsed/>
    <w:rsid w:val="004A56AF"/>
    <w:rPr>
      <w:sz w:val="16"/>
      <w:szCs w:val="16"/>
    </w:rPr>
  </w:style>
  <w:style w:type="paragraph" w:styleId="CommentText">
    <w:name w:val="annotation text"/>
    <w:basedOn w:val="Normal"/>
    <w:link w:val="CommentTextChar"/>
    <w:uiPriority w:val="99"/>
    <w:semiHidden/>
    <w:unhideWhenUsed/>
    <w:rsid w:val="004A56AF"/>
    <w:pPr>
      <w:spacing w:line="240" w:lineRule="auto"/>
    </w:pPr>
    <w:rPr>
      <w:sz w:val="20"/>
      <w:szCs w:val="20"/>
    </w:rPr>
  </w:style>
  <w:style w:type="character" w:customStyle="1" w:styleId="CommentTextChar">
    <w:name w:val="Comment Text Char"/>
    <w:basedOn w:val="DefaultParagraphFont"/>
    <w:link w:val="CommentText"/>
    <w:uiPriority w:val="99"/>
    <w:semiHidden/>
    <w:rsid w:val="004A56AF"/>
    <w:rPr>
      <w:sz w:val="20"/>
      <w:szCs w:val="20"/>
    </w:rPr>
  </w:style>
  <w:style w:type="paragraph" w:styleId="CommentSubject">
    <w:name w:val="annotation subject"/>
    <w:basedOn w:val="CommentText"/>
    <w:next w:val="CommentText"/>
    <w:link w:val="CommentSubjectChar"/>
    <w:uiPriority w:val="99"/>
    <w:semiHidden/>
    <w:unhideWhenUsed/>
    <w:rsid w:val="004A56AF"/>
    <w:rPr>
      <w:b/>
      <w:bCs/>
    </w:rPr>
  </w:style>
  <w:style w:type="character" w:customStyle="1" w:styleId="CommentSubjectChar">
    <w:name w:val="Comment Subject Char"/>
    <w:basedOn w:val="CommentTextChar"/>
    <w:link w:val="CommentSubject"/>
    <w:uiPriority w:val="99"/>
    <w:semiHidden/>
    <w:rsid w:val="004A56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4EBC8EF713E449AB9F680E2F2BEC10" ma:contentTypeVersion="8" ma:contentTypeDescription="Create a new document." ma:contentTypeScope="" ma:versionID="9288eccfdd4dd7ad6f451308a83e5c86">
  <xsd:schema xmlns:xsd="http://www.w3.org/2001/XMLSchema" xmlns:xs="http://www.w3.org/2001/XMLSchema" xmlns:p="http://schemas.microsoft.com/office/2006/metadata/properties" xmlns:ns2="5041e529-b904-4f98-aa7f-5b1298f84c7d" xmlns:ns3="6157e73e-dbee-4017-8909-237d08381653" targetNamespace="http://schemas.microsoft.com/office/2006/metadata/properties" ma:root="true" ma:fieldsID="c718f6292af1b0232d4b9b537ae2c5c2" ns2:_="" ns3:_="">
    <xsd:import namespace="5041e529-b904-4f98-aa7f-5b1298f84c7d"/>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1e529-b904-4f98-aa7f-5b1298f84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34D36-B263-4E7C-B5C9-DBC4BBDCD7E9}">
  <ds:schemaRefs>
    <ds:schemaRef ds:uri="http://schemas.openxmlformats.org/officeDocument/2006/bibliography"/>
  </ds:schemaRefs>
</ds:datastoreItem>
</file>

<file path=customXml/itemProps2.xml><?xml version="1.0" encoding="utf-8"?>
<ds:datastoreItem xmlns:ds="http://schemas.openxmlformats.org/officeDocument/2006/customXml" ds:itemID="{7F311C55-3102-4655-B3D9-D2339BD84346}"/>
</file>

<file path=customXml/itemProps3.xml><?xml version="1.0" encoding="utf-8"?>
<ds:datastoreItem xmlns:ds="http://schemas.openxmlformats.org/officeDocument/2006/customXml" ds:itemID="{4BC31E0C-99EF-4C60-A5CC-7D64BD949C7C}"/>
</file>

<file path=customXml/itemProps4.xml><?xml version="1.0" encoding="utf-8"?>
<ds:datastoreItem xmlns:ds="http://schemas.openxmlformats.org/officeDocument/2006/customXml" ds:itemID="{B4105936-41F1-4CA1-86A6-07FC817763FB}"/>
</file>

<file path=docProps/app.xml><?xml version="1.0" encoding="utf-8"?>
<Properties xmlns="http://schemas.openxmlformats.org/officeDocument/2006/extended-properties" xmlns:vt="http://schemas.openxmlformats.org/officeDocument/2006/docPropsVTypes">
  <Template>Normal</Template>
  <TotalTime>169</TotalTime>
  <Pages>8</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HX14/058</vt:lpstr>
    </vt:vector>
  </TitlesOfParts>
  <Company>PPTA</Company>
  <LinksUpToDate>false</LinksUpToDate>
  <CharactersWithSpaces>14714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HX14/058</dc:title>
  <dc:subject>Annual Conference paper - PPTA Industrial Strategy 2015</dc:subject>
  <dc:creator>PPTA</dc:creator>
  <cp:keywords>Annual Conference paper Industrial Strategy 2015</cp:keywords>
  <dc:description>IPM3/24</dc:description>
  <cp:lastModifiedBy>Christine McNicol</cp:lastModifiedBy>
  <cp:revision>14</cp:revision>
  <cp:lastPrinted>2014-08-07T22:14:00Z</cp:lastPrinted>
  <dcterms:created xsi:type="dcterms:W3CDTF">2014-07-23T23:44:00Z</dcterms:created>
  <dcterms:modified xsi:type="dcterms:W3CDTF">2014-09-12T00:30:00Z</dcterms:modified>
  <cp:category>HX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0x010100D54EBC8EF713E449AB9F680E2F2BEC10</vt:lpwstr>
  </property>
  <property fmtid="{D5CDD505-2E9C-101B-9397-08002B2CF9AE}" pid="3" name="Order">
    <vt:r8>13817800</vt:r8>
  </property>
</Properties>
</file>